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616DEFCE"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0A34CA">
        <w:rPr>
          <w:rFonts w:cs="Arial"/>
          <w:lang w:val="en-US"/>
        </w:rPr>
        <w:t>8</w:t>
      </w:r>
      <w:r w:rsidR="00B11AEB">
        <w:rPr>
          <w:rFonts w:cs="Arial"/>
          <w:lang w:val="en-US"/>
        </w:rPr>
        <w:t>bis</w:t>
      </w:r>
      <w:r w:rsidRPr="009F6173">
        <w:rPr>
          <w:rFonts w:cs="Arial"/>
          <w:lang w:val="en-US"/>
        </w:rPr>
        <w:tab/>
      </w:r>
      <w:r w:rsidRPr="009F6173">
        <w:rPr>
          <w:rFonts w:cs="Arial"/>
          <w:sz w:val="32"/>
          <w:szCs w:val="32"/>
          <w:lang w:val="en-US"/>
        </w:rPr>
        <w:t>R1-</w:t>
      </w:r>
      <w:r w:rsidR="00977F3F" w:rsidRPr="00977F3F">
        <w:t xml:space="preserve"> </w:t>
      </w:r>
      <w:r w:rsidR="00977F3F" w:rsidRPr="00977F3F">
        <w:rPr>
          <w:rFonts w:cs="Arial"/>
          <w:sz w:val="32"/>
          <w:szCs w:val="32"/>
          <w:lang w:val="en-US"/>
        </w:rPr>
        <w:t>1910536</w:t>
      </w:r>
    </w:p>
    <w:p w14:paraId="62AC86BE" w14:textId="7B79E870" w:rsidR="00CE6E0D" w:rsidRPr="009F6173" w:rsidRDefault="00B11AEB" w:rsidP="00CE6E0D">
      <w:pPr>
        <w:pStyle w:val="3GPPHeader"/>
        <w:rPr>
          <w:rFonts w:cs="Arial"/>
          <w:lang w:val="en-US"/>
        </w:rPr>
      </w:pPr>
      <w:r>
        <w:rPr>
          <w:rFonts w:cs="Arial"/>
          <w:lang w:val="en-US"/>
        </w:rPr>
        <w:t>Chongqing</w:t>
      </w:r>
      <w:r w:rsidR="000A34CA">
        <w:rPr>
          <w:rFonts w:cs="Arial"/>
          <w:lang w:val="en-US"/>
        </w:rPr>
        <w:t xml:space="preserve">, </w:t>
      </w:r>
      <w:r>
        <w:rPr>
          <w:rFonts w:cs="Arial"/>
          <w:lang w:val="en-US"/>
        </w:rPr>
        <w:t>China</w:t>
      </w:r>
      <w:r w:rsidR="000A34CA">
        <w:rPr>
          <w:rFonts w:cs="Arial"/>
          <w:lang w:val="en-US"/>
        </w:rPr>
        <w:t xml:space="preserve">, </w:t>
      </w:r>
      <w:r>
        <w:rPr>
          <w:rFonts w:cs="Arial"/>
          <w:lang w:val="en-US"/>
        </w:rPr>
        <w:t>October</w:t>
      </w:r>
      <w:r w:rsidR="00CE6E0D" w:rsidRPr="009F6173">
        <w:rPr>
          <w:rFonts w:cs="Arial"/>
          <w:lang w:val="en-US"/>
        </w:rPr>
        <w:t xml:space="preserve"> </w:t>
      </w:r>
      <w:r>
        <w:rPr>
          <w:rFonts w:cs="Arial"/>
          <w:lang w:val="en-US"/>
        </w:rPr>
        <w:t>14</w:t>
      </w:r>
      <w:r w:rsidR="00CE6E0D" w:rsidRPr="009F6173">
        <w:rPr>
          <w:rFonts w:cs="Arial"/>
          <w:vertAlign w:val="superscript"/>
          <w:lang w:val="en-US"/>
        </w:rPr>
        <w:t>th</w:t>
      </w:r>
      <w:r w:rsidR="00CE6E0D" w:rsidRPr="009F6173">
        <w:rPr>
          <w:rFonts w:cs="Arial"/>
          <w:lang w:val="en-US"/>
        </w:rPr>
        <w:t xml:space="preserve"> – </w:t>
      </w:r>
      <w:r>
        <w:rPr>
          <w:rFonts w:cs="Arial"/>
          <w:lang w:val="en-US"/>
        </w:rPr>
        <w:t>2</w:t>
      </w:r>
      <w:r w:rsidR="000A34CA">
        <w:rPr>
          <w:rFonts w:cs="Arial"/>
          <w:lang w:val="en-US"/>
        </w:rPr>
        <w:t>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134664B" w14:textId="35207355" w:rsidR="000E365B" w:rsidRPr="006D130E" w:rsidRDefault="000E365B" w:rsidP="000E365B">
      <w:pPr>
        <w:pStyle w:val="3GPPHeader"/>
        <w:rPr>
          <w:sz w:val="22"/>
          <w:szCs w:val="22"/>
          <w:lang w:val="en-US"/>
        </w:rPr>
      </w:pPr>
      <w:r w:rsidRPr="00043236">
        <w:rPr>
          <w:sz w:val="22"/>
          <w:szCs w:val="22"/>
          <w:lang w:val="en-US"/>
        </w:rPr>
        <w:t>Agenda Item:</w:t>
      </w:r>
      <w:r w:rsidRPr="00043236">
        <w:rPr>
          <w:sz w:val="22"/>
          <w:szCs w:val="22"/>
          <w:lang w:val="en-US"/>
        </w:rPr>
        <w:tab/>
        <w:t>7.2.4.3</w:t>
      </w:r>
    </w:p>
    <w:p w14:paraId="5244F043" w14:textId="77777777" w:rsidR="000E365B" w:rsidRPr="00CE0424" w:rsidRDefault="000E365B" w:rsidP="000E365B">
      <w:pPr>
        <w:pStyle w:val="3GPPHeader"/>
        <w:rPr>
          <w:sz w:val="22"/>
          <w:szCs w:val="22"/>
        </w:rPr>
      </w:pPr>
      <w:r>
        <w:rPr>
          <w:sz w:val="22"/>
          <w:szCs w:val="22"/>
        </w:rPr>
        <w:t>Source:</w:t>
      </w:r>
      <w:r w:rsidRPr="00CE0424">
        <w:rPr>
          <w:sz w:val="22"/>
          <w:szCs w:val="22"/>
        </w:rPr>
        <w:tab/>
        <w:t>Ericsson</w:t>
      </w:r>
    </w:p>
    <w:p w14:paraId="39C209D7" w14:textId="77777777" w:rsidR="000E365B" w:rsidRPr="00CE0424" w:rsidRDefault="000E365B" w:rsidP="000E365B">
      <w:pPr>
        <w:pStyle w:val="3GPPHeader"/>
        <w:rPr>
          <w:sz w:val="22"/>
          <w:szCs w:val="22"/>
        </w:rPr>
      </w:pPr>
      <w:r>
        <w:rPr>
          <w:sz w:val="22"/>
          <w:szCs w:val="22"/>
        </w:rPr>
        <w:t>Title:</w:t>
      </w:r>
      <w:r w:rsidRPr="00CE0424">
        <w:rPr>
          <w:sz w:val="22"/>
          <w:szCs w:val="22"/>
        </w:rPr>
        <w:tab/>
      </w:r>
      <w:r w:rsidRPr="00EA2CE9">
        <w:rPr>
          <w:sz w:val="22"/>
          <w:szCs w:val="22"/>
        </w:rPr>
        <w:t>S-SSB design and synchronization protocol for NR SL</w:t>
      </w:r>
    </w:p>
    <w:p w14:paraId="640057B1" w14:textId="77777777" w:rsidR="000E365B" w:rsidRPr="00CE0424" w:rsidRDefault="000E365B" w:rsidP="000E365B">
      <w:pPr>
        <w:pStyle w:val="3GPPHeader"/>
        <w:rPr>
          <w:sz w:val="22"/>
          <w:szCs w:val="22"/>
        </w:rPr>
      </w:pPr>
      <w:r w:rsidRPr="00CE0424">
        <w:rPr>
          <w:sz w:val="22"/>
          <w:szCs w:val="22"/>
        </w:rPr>
        <w:t>Document for:</w:t>
      </w:r>
      <w:r w:rsidRPr="00CE0424">
        <w:rPr>
          <w:sz w:val="22"/>
          <w:szCs w:val="22"/>
        </w:rPr>
        <w:tab/>
      </w:r>
      <w:r w:rsidRPr="00EA2CE9">
        <w:rPr>
          <w:sz w:val="22"/>
          <w:szCs w:val="22"/>
        </w:rPr>
        <w:t>Discussion, Decision</w:t>
      </w:r>
    </w:p>
    <w:p w14:paraId="7C31124A" w14:textId="77777777" w:rsidR="000E365B" w:rsidRPr="00CE0424" w:rsidRDefault="000E365B" w:rsidP="000E365B"/>
    <w:p w14:paraId="01979DCB" w14:textId="77777777" w:rsidR="000E365B" w:rsidRPr="00CE0424" w:rsidRDefault="000E365B" w:rsidP="000E365B">
      <w:pPr>
        <w:pStyle w:val="Heading1"/>
      </w:pPr>
      <w:r>
        <w:t>1</w:t>
      </w:r>
      <w:r>
        <w:tab/>
      </w:r>
      <w:r w:rsidRPr="00CE0424">
        <w:t>Introduction</w:t>
      </w:r>
    </w:p>
    <w:p w14:paraId="308D206E" w14:textId="15CF4084" w:rsidR="000E365B" w:rsidRDefault="000E365B" w:rsidP="000E365B">
      <w:pPr>
        <w:jc w:val="both"/>
        <w:rPr>
          <w:rFonts w:cs="Arial"/>
        </w:rPr>
      </w:pPr>
      <w:r w:rsidRPr="008D32EC">
        <w:rPr>
          <w:rFonts w:cs="Arial"/>
        </w:rPr>
        <w:t>This paper gives a detailed description of the S-SSB design and required considerations, along with the synchronization procedures needed.</w:t>
      </w:r>
    </w:p>
    <w:p w14:paraId="14DF963F" w14:textId="14AC3BE2" w:rsidR="00423EAC" w:rsidRPr="00886927" w:rsidRDefault="00423EAC" w:rsidP="00423EAC">
      <w:pPr>
        <w:pStyle w:val="Heading1"/>
        <w:rPr>
          <w:lang w:val="en-US"/>
        </w:rPr>
      </w:pPr>
      <w:r>
        <w:t>2</w:t>
      </w:r>
      <w:r>
        <w:tab/>
      </w:r>
      <w:r w:rsidR="00867B23">
        <w:t xml:space="preserve">SLSS </w:t>
      </w:r>
      <w:r w:rsidR="00886927">
        <w:rPr>
          <w:lang w:val="en-US"/>
        </w:rPr>
        <w:t>IDs</w:t>
      </w:r>
    </w:p>
    <w:p w14:paraId="548E4EDE" w14:textId="71B78951" w:rsidR="00867B23" w:rsidRDefault="00867B23" w:rsidP="00792518">
      <w:pPr>
        <w:jc w:val="both"/>
      </w:pPr>
      <w:r>
        <w:t xml:space="preserve">One of the remaining points to solve </w:t>
      </w:r>
      <w:r w:rsidR="00206715">
        <w:t xml:space="preserve">regarding the SLSS structure is how to signal the synchronization source </w:t>
      </w:r>
      <w:r w:rsidR="000445E4">
        <w:t>reference</w:t>
      </w:r>
      <w:r w:rsidR="00206715">
        <w:t xml:space="preserve">, i.e., GNSS, </w:t>
      </w:r>
      <w:proofErr w:type="spellStart"/>
      <w:r w:rsidR="00206715">
        <w:t>eNB</w:t>
      </w:r>
      <w:proofErr w:type="spellEnd"/>
      <w:r w:rsidR="00206715">
        <w:t>/</w:t>
      </w:r>
      <w:proofErr w:type="spellStart"/>
      <w:r w:rsidR="00206715">
        <w:t>gNB</w:t>
      </w:r>
      <w:proofErr w:type="spellEnd"/>
      <w:r w:rsidR="00206715">
        <w:t xml:space="preserve"> or </w:t>
      </w:r>
      <w:r w:rsidR="000445E4">
        <w:t xml:space="preserve">any </w:t>
      </w:r>
      <w:r w:rsidR="00206715">
        <w:t>other source.</w:t>
      </w:r>
      <w:r w:rsidR="00BB28D4">
        <w:t xml:space="preserve"> In our view this should be included in the S</w:t>
      </w:r>
      <w:r w:rsidR="00781FCA">
        <w:t>LS</w:t>
      </w:r>
      <w:r w:rsidR="00E60BE8">
        <w:t>S</w:t>
      </w:r>
      <w:r w:rsidR="00BB28D4">
        <w:t>ID</w:t>
      </w:r>
      <w:r w:rsidR="00867B62">
        <w:t>. During the last meeting it was agreed to have 672</w:t>
      </w:r>
      <w:r w:rsidR="00E60BE8">
        <w:t xml:space="preserve"> NR V2X S</w:t>
      </w:r>
      <w:r w:rsidR="00781FCA">
        <w:t>LS</w:t>
      </w:r>
      <w:r w:rsidR="00E60BE8">
        <w:t xml:space="preserve">SID. We propose to have </w:t>
      </w:r>
      <w:r w:rsidR="00FA0453">
        <w:t>a similar approach as in LTE-V2X</w:t>
      </w:r>
      <w:r w:rsidR="00E60BE8">
        <w:t>:</w:t>
      </w:r>
    </w:p>
    <w:p w14:paraId="6A1C67F0" w14:textId="17ADE5F6" w:rsidR="00FA0453" w:rsidRPr="006D130E" w:rsidRDefault="00FA0453" w:rsidP="000445E4">
      <w:pPr>
        <w:pStyle w:val="ListParagraph"/>
        <w:numPr>
          <w:ilvl w:val="0"/>
          <w:numId w:val="39"/>
        </w:numPr>
        <w:jc w:val="both"/>
        <w:rPr>
          <w:rFonts w:ascii="Arial" w:hAnsi="Arial" w:cs="Arial"/>
          <w:sz w:val="20"/>
          <w:szCs w:val="20"/>
        </w:rPr>
      </w:pPr>
      <w:r w:rsidRPr="006D130E">
        <w:rPr>
          <w:rFonts w:ascii="Arial" w:hAnsi="Arial" w:cs="Arial"/>
          <w:sz w:val="20"/>
          <w:szCs w:val="20"/>
        </w:rPr>
        <w:t>S</w:t>
      </w:r>
      <w:r w:rsidR="001D48C1" w:rsidRPr="006D130E">
        <w:rPr>
          <w:rFonts w:ascii="Arial" w:hAnsi="Arial" w:cs="Arial"/>
          <w:sz w:val="20"/>
          <w:szCs w:val="20"/>
        </w:rPr>
        <w:t>LS</w:t>
      </w:r>
      <w:r w:rsidRPr="006D130E">
        <w:rPr>
          <w:rFonts w:ascii="Arial" w:hAnsi="Arial" w:cs="Arial"/>
          <w:sz w:val="20"/>
          <w:szCs w:val="20"/>
        </w:rPr>
        <w:t>SID_gnss = {0, 336}</w:t>
      </w:r>
      <w:r w:rsidR="00467EAC" w:rsidRPr="006D130E">
        <w:rPr>
          <w:rFonts w:ascii="Arial" w:hAnsi="Arial" w:cs="Arial"/>
          <w:sz w:val="20"/>
          <w:szCs w:val="20"/>
        </w:rPr>
        <w:t>.</w:t>
      </w:r>
      <w:r w:rsidR="00760BBD" w:rsidRPr="006D130E">
        <w:rPr>
          <w:rFonts w:ascii="Arial" w:hAnsi="Arial" w:cs="Arial"/>
          <w:sz w:val="20"/>
          <w:szCs w:val="20"/>
          <w:lang w:val="en-US"/>
        </w:rPr>
        <w:t xml:space="preserve"> This set is used by UEs that are synced directly</w:t>
      </w:r>
      <w:r w:rsidR="000445E4" w:rsidRPr="006D130E">
        <w:rPr>
          <w:rFonts w:ascii="Arial" w:hAnsi="Arial" w:cs="Arial"/>
          <w:sz w:val="20"/>
          <w:szCs w:val="20"/>
        </w:rPr>
        <w:t xml:space="preserve"> or </w:t>
      </w:r>
      <w:r w:rsidR="00760BBD" w:rsidRPr="006D130E">
        <w:rPr>
          <w:rFonts w:ascii="Arial" w:hAnsi="Arial" w:cs="Arial"/>
          <w:sz w:val="20"/>
          <w:szCs w:val="20"/>
          <w:lang w:val="en-US"/>
        </w:rPr>
        <w:t>indirectly to GNSS.</w:t>
      </w:r>
    </w:p>
    <w:p w14:paraId="1E4A0B66" w14:textId="1271521F" w:rsidR="00E60BE8" w:rsidRPr="006D130E" w:rsidRDefault="00BF3957" w:rsidP="000445E4">
      <w:pPr>
        <w:pStyle w:val="ListParagraph"/>
        <w:numPr>
          <w:ilvl w:val="0"/>
          <w:numId w:val="39"/>
        </w:numPr>
        <w:jc w:val="both"/>
        <w:rPr>
          <w:rFonts w:ascii="Arial" w:hAnsi="Arial" w:cs="Arial"/>
          <w:sz w:val="20"/>
          <w:szCs w:val="20"/>
        </w:rPr>
      </w:pPr>
      <w:r w:rsidRPr="006D130E">
        <w:rPr>
          <w:rFonts w:ascii="Arial" w:hAnsi="Arial" w:cs="Arial"/>
          <w:sz w:val="20"/>
          <w:szCs w:val="20"/>
        </w:rPr>
        <w:t>S</w:t>
      </w:r>
      <w:r w:rsidR="001D48C1" w:rsidRPr="006D130E">
        <w:rPr>
          <w:rFonts w:ascii="Arial" w:hAnsi="Arial" w:cs="Arial"/>
          <w:sz w:val="20"/>
          <w:szCs w:val="20"/>
        </w:rPr>
        <w:t>LS</w:t>
      </w:r>
      <w:r w:rsidRPr="006D130E">
        <w:rPr>
          <w:rFonts w:ascii="Arial" w:hAnsi="Arial" w:cs="Arial"/>
          <w:sz w:val="20"/>
          <w:szCs w:val="20"/>
        </w:rPr>
        <w:t>SID_inc = {</w:t>
      </w:r>
      <w:r w:rsidR="004A1798" w:rsidRPr="006D130E">
        <w:rPr>
          <w:rFonts w:ascii="Arial" w:hAnsi="Arial" w:cs="Arial"/>
          <w:sz w:val="20"/>
          <w:szCs w:val="20"/>
        </w:rPr>
        <w:t>1</w:t>
      </w:r>
      <w:r w:rsidRPr="006D130E">
        <w:rPr>
          <w:rFonts w:ascii="Arial" w:hAnsi="Arial" w:cs="Arial"/>
          <w:sz w:val="20"/>
          <w:szCs w:val="20"/>
        </w:rPr>
        <w:t>,…,335}</w:t>
      </w:r>
      <w:r w:rsidR="002C568E" w:rsidRPr="006D130E">
        <w:rPr>
          <w:rFonts w:ascii="Arial" w:hAnsi="Arial" w:cs="Arial"/>
          <w:sz w:val="20"/>
          <w:szCs w:val="20"/>
        </w:rPr>
        <w:t>. Th</w:t>
      </w:r>
      <w:r w:rsidR="000445E4" w:rsidRPr="006D130E">
        <w:rPr>
          <w:rFonts w:ascii="Arial" w:hAnsi="Arial" w:cs="Arial"/>
          <w:sz w:val="20"/>
          <w:szCs w:val="20"/>
        </w:rPr>
        <w:t>is</w:t>
      </w:r>
      <w:r w:rsidR="002C568E" w:rsidRPr="006D130E">
        <w:rPr>
          <w:rFonts w:ascii="Arial" w:hAnsi="Arial" w:cs="Arial"/>
          <w:sz w:val="20"/>
          <w:szCs w:val="20"/>
        </w:rPr>
        <w:t xml:space="preserve"> </w:t>
      </w:r>
      <w:r w:rsidR="00C27A59" w:rsidRPr="006D130E">
        <w:rPr>
          <w:rFonts w:ascii="Arial" w:hAnsi="Arial" w:cs="Arial"/>
          <w:sz w:val="20"/>
          <w:szCs w:val="20"/>
        </w:rPr>
        <w:t xml:space="preserve">set of </w:t>
      </w:r>
      <w:r w:rsidR="002C568E" w:rsidRPr="006D130E">
        <w:rPr>
          <w:rFonts w:ascii="Arial" w:hAnsi="Arial" w:cs="Arial"/>
          <w:sz w:val="20"/>
          <w:szCs w:val="20"/>
        </w:rPr>
        <w:t>S</w:t>
      </w:r>
      <w:r w:rsidR="001D48C1" w:rsidRPr="006D130E">
        <w:rPr>
          <w:rFonts w:ascii="Arial" w:hAnsi="Arial" w:cs="Arial"/>
          <w:sz w:val="20"/>
          <w:szCs w:val="20"/>
        </w:rPr>
        <w:t>LS</w:t>
      </w:r>
      <w:r w:rsidR="002C568E" w:rsidRPr="006D130E">
        <w:rPr>
          <w:rFonts w:ascii="Arial" w:hAnsi="Arial" w:cs="Arial"/>
          <w:sz w:val="20"/>
          <w:szCs w:val="20"/>
        </w:rPr>
        <w:t>SID cover</w:t>
      </w:r>
      <w:r w:rsidR="00C27A59" w:rsidRPr="006D130E">
        <w:rPr>
          <w:rFonts w:ascii="Arial" w:hAnsi="Arial" w:cs="Arial"/>
          <w:sz w:val="20"/>
          <w:szCs w:val="20"/>
        </w:rPr>
        <w:t>s</w:t>
      </w:r>
      <w:r w:rsidR="002C568E" w:rsidRPr="006D130E">
        <w:rPr>
          <w:rFonts w:ascii="Arial" w:hAnsi="Arial" w:cs="Arial"/>
          <w:sz w:val="20"/>
          <w:szCs w:val="20"/>
        </w:rPr>
        <w:t xml:space="preserve"> the in-coverage scenario</w:t>
      </w:r>
      <w:r w:rsidR="00C27A59" w:rsidRPr="006D130E">
        <w:rPr>
          <w:rFonts w:ascii="Arial" w:hAnsi="Arial" w:cs="Arial"/>
          <w:sz w:val="20"/>
          <w:szCs w:val="20"/>
        </w:rPr>
        <w:t>, i.e., where the synchronization reference is ei</w:t>
      </w:r>
      <w:r w:rsidR="004A1798" w:rsidRPr="006D130E">
        <w:rPr>
          <w:rFonts w:ascii="Arial" w:hAnsi="Arial" w:cs="Arial"/>
          <w:sz w:val="20"/>
          <w:szCs w:val="20"/>
        </w:rPr>
        <w:t xml:space="preserve">ther </w:t>
      </w:r>
      <w:r w:rsidR="00C27A59" w:rsidRPr="006D130E">
        <w:rPr>
          <w:rFonts w:ascii="Arial" w:hAnsi="Arial" w:cs="Arial"/>
          <w:sz w:val="20"/>
          <w:szCs w:val="20"/>
        </w:rPr>
        <w:t>eNB</w:t>
      </w:r>
      <w:r w:rsidR="004A1798" w:rsidRPr="006D130E">
        <w:rPr>
          <w:rFonts w:ascii="Arial" w:hAnsi="Arial" w:cs="Arial"/>
          <w:sz w:val="20"/>
          <w:szCs w:val="20"/>
        </w:rPr>
        <w:t xml:space="preserve"> or </w:t>
      </w:r>
      <w:r w:rsidR="00C27A59" w:rsidRPr="006D130E">
        <w:rPr>
          <w:rFonts w:ascii="Arial" w:hAnsi="Arial" w:cs="Arial"/>
          <w:sz w:val="20"/>
          <w:szCs w:val="20"/>
        </w:rPr>
        <w:t xml:space="preserve">gNB. </w:t>
      </w:r>
      <w:r w:rsidR="005F2FB6" w:rsidRPr="006D130E">
        <w:rPr>
          <w:rFonts w:ascii="Arial" w:hAnsi="Arial" w:cs="Arial"/>
          <w:sz w:val="20"/>
          <w:szCs w:val="20"/>
        </w:rPr>
        <w:t>It includes the case</w:t>
      </w:r>
      <w:r w:rsidR="009E384D" w:rsidRPr="006D130E">
        <w:rPr>
          <w:rFonts w:ascii="Arial" w:hAnsi="Arial" w:cs="Arial"/>
          <w:sz w:val="20"/>
          <w:szCs w:val="20"/>
        </w:rPr>
        <w:t>s</w:t>
      </w:r>
      <w:r w:rsidR="005F2FB6" w:rsidRPr="006D130E">
        <w:rPr>
          <w:rFonts w:ascii="Arial" w:hAnsi="Arial" w:cs="Arial"/>
          <w:sz w:val="20"/>
          <w:szCs w:val="20"/>
        </w:rPr>
        <w:t xml:space="preserve"> where a UE is directly synchronized to the eNB/gNB</w:t>
      </w:r>
      <w:r w:rsidR="009E384D" w:rsidRPr="006D130E">
        <w:rPr>
          <w:rFonts w:ascii="Arial" w:hAnsi="Arial" w:cs="Arial"/>
          <w:sz w:val="20"/>
          <w:szCs w:val="20"/>
        </w:rPr>
        <w:t xml:space="preserve"> </w:t>
      </w:r>
      <w:r w:rsidR="00076FEE" w:rsidRPr="006D130E">
        <w:rPr>
          <w:rFonts w:ascii="Arial" w:hAnsi="Arial" w:cs="Arial"/>
          <w:sz w:val="20"/>
          <w:szCs w:val="20"/>
        </w:rPr>
        <w:t>or obtains its synchronization from a UE which is synchronized directly to eNB or gNB.</w:t>
      </w:r>
    </w:p>
    <w:p w14:paraId="27F808CF" w14:textId="055BBE66" w:rsidR="00792518" w:rsidRPr="006D130E" w:rsidRDefault="00BF3957" w:rsidP="00792518">
      <w:pPr>
        <w:pStyle w:val="ListParagraph"/>
        <w:numPr>
          <w:ilvl w:val="0"/>
          <w:numId w:val="39"/>
        </w:numPr>
        <w:jc w:val="both"/>
        <w:rPr>
          <w:rFonts w:ascii="Arial" w:hAnsi="Arial" w:cs="Arial"/>
          <w:sz w:val="20"/>
          <w:szCs w:val="20"/>
        </w:rPr>
      </w:pPr>
      <w:r w:rsidRPr="006D130E">
        <w:rPr>
          <w:rFonts w:ascii="Arial" w:hAnsi="Arial" w:cs="Arial"/>
          <w:sz w:val="20"/>
          <w:szCs w:val="20"/>
        </w:rPr>
        <w:t>S</w:t>
      </w:r>
      <w:r w:rsidR="001D48C1" w:rsidRPr="006D130E">
        <w:rPr>
          <w:rFonts w:ascii="Arial" w:hAnsi="Arial" w:cs="Arial"/>
          <w:sz w:val="20"/>
          <w:szCs w:val="20"/>
        </w:rPr>
        <w:t>LS</w:t>
      </w:r>
      <w:r w:rsidRPr="006D130E">
        <w:rPr>
          <w:rFonts w:ascii="Arial" w:hAnsi="Arial" w:cs="Arial"/>
          <w:sz w:val="20"/>
          <w:szCs w:val="20"/>
        </w:rPr>
        <w:t>SID_ooc = {33</w:t>
      </w:r>
      <w:r w:rsidR="00C8426F" w:rsidRPr="006D130E">
        <w:rPr>
          <w:rFonts w:ascii="Arial" w:hAnsi="Arial" w:cs="Arial"/>
          <w:sz w:val="20"/>
          <w:szCs w:val="20"/>
        </w:rPr>
        <w:t>7</w:t>
      </w:r>
      <w:r w:rsidRPr="006D130E">
        <w:rPr>
          <w:rFonts w:ascii="Arial" w:hAnsi="Arial" w:cs="Arial"/>
          <w:sz w:val="20"/>
          <w:szCs w:val="20"/>
        </w:rPr>
        <w:t>,…,671}</w:t>
      </w:r>
      <w:r w:rsidR="00792518" w:rsidRPr="006D130E">
        <w:rPr>
          <w:rFonts w:ascii="Arial" w:hAnsi="Arial" w:cs="Arial"/>
          <w:sz w:val="20"/>
          <w:szCs w:val="20"/>
          <w:lang w:val="en-US"/>
        </w:rPr>
        <w:t xml:space="preserve">. Used by UEs which are out-of-coverage and synchronized to another out-of-coverage UE or UEs which are out-of-coverage and have no other </w:t>
      </w:r>
      <w:proofErr w:type="spellStart"/>
      <w:r w:rsidR="00792518" w:rsidRPr="006D130E">
        <w:rPr>
          <w:rFonts w:ascii="Arial" w:hAnsi="Arial" w:cs="Arial"/>
          <w:sz w:val="20"/>
          <w:szCs w:val="20"/>
          <w:lang w:val="en-US"/>
        </w:rPr>
        <w:t>SyncRef</w:t>
      </w:r>
      <w:proofErr w:type="spellEnd"/>
      <w:r w:rsidR="00792518" w:rsidRPr="006D130E">
        <w:rPr>
          <w:rFonts w:ascii="Arial" w:hAnsi="Arial" w:cs="Arial"/>
          <w:sz w:val="20"/>
          <w:szCs w:val="20"/>
          <w:lang w:val="en-US"/>
        </w:rPr>
        <w:t xml:space="preserve"> UE than their internal clock.</w:t>
      </w:r>
    </w:p>
    <w:p w14:paraId="0355CA19" w14:textId="77777777" w:rsidR="000445E4" w:rsidRPr="000445E4" w:rsidRDefault="000445E4" w:rsidP="000445E4">
      <w:pPr>
        <w:pStyle w:val="ListParagraph"/>
        <w:jc w:val="both"/>
      </w:pPr>
    </w:p>
    <w:p w14:paraId="43110F41" w14:textId="0B128C77" w:rsidR="000D27F0" w:rsidRDefault="00792518" w:rsidP="000D27F0">
      <w:pPr>
        <w:pStyle w:val="Proposal"/>
        <w:tabs>
          <w:tab w:val="num" w:pos="1871"/>
        </w:tabs>
        <w:overflowPunct/>
        <w:autoSpaceDE/>
        <w:autoSpaceDN/>
        <w:adjustRightInd/>
        <w:spacing w:line="259" w:lineRule="auto"/>
        <w:textAlignment w:val="auto"/>
        <w:rPr>
          <w:rFonts w:cs="Arial"/>
          <w:lang w:val="en-US"/>
        </w:rPr>
      </w:pPr>
      <w:bookmarkStart w:id="0" w:name="_Toc21373299"/>
      <w:r>
        <w:rPr>
          <w:rFonts w:cs="Arial"/>
          <w:lang w:val="en-US"/>
        </w:rPr>
        <w:t>The set of S</w:t>
      </w:r>
      <w:r w:rsidR="001D48C1">
        <w:rPr>
          <w:rFonts w:cs="Arial"/>
          <w:lang w:val="en-US"/>
        </w:rPr>
        <w:t>LS</w:t>
      </w:r>
      <w:r>
        <w:rPr>
          <w:rFonts w:cs="Arial"/>
          <w:lang w:val="en-US"/>
        </w:rPr>
        <w:t>SID</w:t>
      </w:r>
      <w:r w:rsidR="00F97D3A">
        <w:rPr>
          <w:rFonts w:cs="Arial"/>
          <w:lang w:val="en-US"/>
        </w:rPr>
        <w:t xml:space="preserve">s is divided into 3 groups (GNSS, </w:t>
      </w:r>
      <w:r w:rsidR="007948AB">
        <w:rPr>
          <w:rFonts w:cs="Arial"/>
          <w:lang w:val="en-US"/>
        </w:rPr>
        <w:t>i</w:t>
      </w:r>
      <w:r w:rsidR="00F97D3A">
        <w:rPr>
          <w:rFonts w:cs="Arial"/>
          <w:lang w:val="en-US"/>
        </w:rPr>
        <w:t xml:space="preserve">n-coverage and out-of-coverage) following </w:t>
      </w:r>
      <w:r w:rsidR="00CD3684">
        <w:rPr>
          <w:rFonts w:cs="Arial"/>
        </w:rPr>
        <w:t xml:space="preserve">a similar </w:t>
      </w:r>
      <w:r w:rsidR="00946A42">
        <w:rPr>
          <w:rFonts w:cs="Arial"/>
          <w:lang w:val="en-US"/>
        </w:rPr>
        <w:t>approach</w:t>
      </w:r>
      <w:r w:rsidR="00F97D3A">
        <w:rPr>
          <w:rFonts w:cs="Arial"/>
          <w:lang w:val="en-US"/>
        </w:rPr>
        <w:t xml:space="preserve"> as in LTE-V2X</w:t>
      </w:r>
      <w:r w:rsidR="00CD3684">
        <w:rPr>
          <w:rFonts w:cs="Arial"/>
        </w:rPr>
        <w:t>:</w:t>
      </w:r>
      <w:bookmarkEnd w:id="0"/>
    </w:p>
    <w:p w14:paraId="366DD88F" w14:textId="790EE5AF" w:rsidR="000D27F0" w:rsidRPr="000D27F0" w:rsidRDefault="000D27F0" w:rsidP="000D27F0">
      <w:pPr>
        <w:pStyle w:val="Proposal"/>
        <w:numPr>
          <w:ilvl w:val="0"/>
          <w:numId w:val="42"/>
        </w:numPr>
        <w:tabs>
          <w:tab w:val="num" w:pos="1871"/>
        </w:tabs>
        <w:overflowPunct/>
        <w:autoSpaceDE/>
        <w:autoSpaceDN/>
        <w:adjustRightInd/>
        <w:spacing w:line="259" w:lineRule="auto"/>
        <w:textAlignment w:val="auto"/>
        <w:rPr>
          <w:rFonts w:cs="Arial"/>
          <w:lang w:val="en-US"/>
        </w:rPr>
      </w:pPr>
      <w:bookmarkStart w:id="1" w:name="_Toc21373300"/>
      <w:proofErr w:type="spellStart"/>
      <w:r w:rsidRPr="000D27F0">
        <w:t>S</w:t>
      </w:r>
      <w:r w:rsidR="001D48C1">
        <w:t>LS</w:t>
      </w:r>
      <w:r w:rsidRPr="000D27F0">
        <w:t>SID_gnss</w:t>
      </w:r>
      <w:proofErr w:type="spellEnd"/>
      <w:r w:rsidRPr="000D27F0">
        <w:t xml:space="preserve"> = {0,</w:t>
      </w:r>
      <w:r w:rsidR="002807CA">
        <w:t xml:space="preserve"> </w:t>
      </w:r>
      <w:r w:rsidRPr="000D27F0">
        <w:t>336}</w:t>
      </w:r>
      <w:bookmarkEnd w:id="1"/>
    </w:p>
    <w:p w14:paraId="5E019B51" w14:textId="328BFB7E" w:rsidR="000D27F0" w:rsidRPr="000D27F0" w:rsidRDefault="000D27F0" w:rsidP="000D27F0">
      <w:pPr>
        <w:pStyle w:val="Proposal"/>
        <w:numPr>
          <w:ilvl w:val="0"/>
          <w:numId w:val="42"/>
        </w:numPr>
        <w:tabs>
          <w:tab w:val="num" w:pos="1871"/>
        </w:tabs>
        <w:overflowPunct/>
        <w:autoSpaceDE/>
        <w:autoSpaceDN/>
        <w:adjustRightInd/>
        <w:spacing w:line="259" w:lineRule="auto"/>
        <w:textAlignment w:val="auto"/>
        <w:rPr>
          <w:rFonts w:cs="Arial"/>
          <w:lang w:val="en-US"/>
        </w:rPr>
      </w:pPr>
      <w:bookmarkStart w:id="2" w:name="_Toc21373301"/>
      <w:proofErr w:type="spellStart"/>
      <w:r w:rsidRPr="00467EAC">
        <w:t>S</w:t>
      </w:r>
      <w:r w:rsidR="001D48C1">
        <w:t>LS</w:t>
      </w:r>
      <w:r w:rsidRPr="00467EAC">
        <w:t>SID_inc</w:t>
      </w:r>
      <w:proofErr w:type="spellEnd"/>
      <w:r w:rsidRPr="00467EAC">
        <w:t xml:space="preserve"> = {</w:t>
      </w:r>
      <w:r w:rsidR="00682EC2" w:rsidRPr="00467EAC">
        <w:t>1,</w:t>
      </w:r>
      <w:r w:rsidR="002807CA">
        <w:t xml:space="preserve"> </w:t>
      </w:r>
      <w:r w:rsidR="00682EC2">
        <w:t>…</w:t>
      </w:r>
      <w:r w:rsidRPr="00467EAC">
        <w:t>,</w:t>
      </w:r>
      <w:r w:rsidR="002807CA">
        <w:t xml:space="preserve"> </w:t>
      </w:r>
      <w:r w:rsidRPr="00467EAC">
        <w:t>335}</w:t>
      </w:r>
      <w:bookmarkEnd w:id="2"/>
    </w:p>
    <w:p w14:paraId="4AEAC997" w14:textId="748B29E8" w:rsidR="00423EAC" w:rsidRPr="000D27F0" w:rsidRDefault="000D27F0" w:rsidP="000E365B">
      <w:pPr>
        <w:pStyle w:val="Proposal"/>
        <w:numPr>
          <w:ilvl w:val="0"/>
          <w:numId w:val="42"/>
        </w:numPr>
        <w:tabs>
          <w:tab w:val="num" w:pos="1871"/>
        </w:tabs>
        <w:overflowPunct/>
        <w:autoSpaceDE/>
        <w:autoSpaceDN/>
        <w:adjustRightInd/>
        <w:spacing w:line="259" w:lineRule="auto"/>
        <w:textAlignment w:val="auto"/>
        <w:rPr>
          <w:rFonts w:cs="Arial"/>
          <w:lang w:val="en-US"/>
        </w:rPr>
      </w:pPr>
      <w:bookmarkStart w:id="3" w:name="_Toc21373302"/>
      <w:proofErr w:type="spellStart"/>
      <w:r w:rsidRPr="00467EAC">
        <w:t>S</w:t>
      </w:r>
      <w:r w:rsidR="001D48C1">
        <w:t>LS</w:t>
      </w:r>
      <w:r w:rsidRPr="00467EAC">
        <w:t>SID_ooc</w:t>
      </w:r>
      <w:proofErr w:type="spellEnd"/>
      <w:r w:rsidRPr="00467EAC">
        <w:t xml:space="preserve"> = {33</w:t>
      </w:r>
      <w:r w:rsidR="00C8426F">
        <w:t>7</w:t>
      </w:r>
      <w:r w:rsidRPr="00467EAC">
        <w:t>,</w:t>
      </w:r>
      <w:r w:rsidR="002807CA">
        <w:t xml:space="preserve"> </w:t>
      </w:r>
      <w:r w:rsidRPr="00467EAC">
        <w:t>…,</w:t>
      </w:r>
      <w:r w:rsidR="002807CA">
        <w:t xml:space="preserve"> </w:t>
      </w:r>
      <w:r w:rsidRPr="00467EAC">
        <w:t>671}</w:t>
      </w:r>
      <w:bookmarkEnd w:id="3"/>
    </w:p>
    <w:p w14:paraId="6967FC81" w14:textId="46C36189" w:rsidR="000E365B" w:rsidRDefault="00423EAC" w:rsidP="005F4079">
      <w:pPr>
        <w:pStyle w:val="Heading1"/>
      </w:pPr>
      <w:r>
        <w:t>3</w:t>
      </w:r>
      <w:r w:rsidR="000E365B">
        <w:tab/>
      </w:r>
      <w:r w:rsidR="000F68DF">
        <w:t>S-SSB</w:t>
      </w:r>
      <w:r w:rsidR="000F68DF" w:rsidRPr="004B6578">
        <w:t xml:space="preserve"> </w:t>
      </w:r>
      <w:r w:rsidR="00563061">
        <w:t>design</w:t>
      </w:r>
    </w:p>
    <w:p w14:paraId="554ECF75" w14:textId="77777777" w:rsidR="000E365B" w:rsidRPr="00566B45" w:rsidRDefault="000E365B" w:rsidP="000E365B">
      <w:pPr>
        <w:jc w:val="both"/>
        <w:rPr>
          <w:rFonts w:eastAsia="Calibri" w:cs="Arial"/>
        </w:rPr>
      </w:pPr>
      <w:r>
        <w:rPr>
          <w:rFonts w:cs="Arial"/>
        </w:rPr>
        <w:t>W</w:t>
      </w:r>
      <w:r w:rsidRPr="008D32EC">
        <w:rPr>
          <w:rFonts w:cs="Arial"/>
        </w:rPr>
        <w:t>e believe that PSBCH is an instrumental component of NR SL for the following reasons:</w:t>
      </w:r>
    </w:p>
    <w:p w14:paraId="4B79993D" w14:textId="77777777" w:rsidR="000E365B" w:rsidRPr="008D32EC" w:rsidRDefault="000E365B" w:rsidP="000E365B">
      <w:pPr>
        <w:pStyle w:val="ListParagraph"/>
        <w:numPr>
          <w:ilvl w:val="0"/>
          <w:numId w:val="34"/>
        </w:numPr>
        <w:overflowPunct/>
        <w:autoSpaceDE/>
        <w:autoSpaceDN/>
        <w:adjustRightInd/>
        <w:spacing w:line="259" w:lineRule="auto"/>
        <w:jc w:val="both"/>
        <w:textAlignment w:val="auto"/>
        <w:rPr>
          <w:rFonts w:ascii="Arial" w:eastAsia="Times New Roman" w:hAnsi="Arial" w:cs="Arial"/>
          <w:sz w:val="20"/>
          <w:szCs w:val="20"/>
          <w:lang w:eastAsia="ja-JP"/>
        </w:rPr>
      </w:pPr>
      <w:r w:rsidRPr="008D32EC">
        <w:rPr>
          <w:rFonts w:ascii="Arial" w:eastAsia="Times New Roman" w:hAnsi="Arial" w:cs="Arial"/>
          <w:sz w:val="20"/>
          <w:szCs w:val="20"/>
          <w:lang w:eastAsia="ja-JP"/>
        </w:rPr>
        <w:t xml:space="preserve">It allows UEs to synchronize to each other in </w:t>
      </w:r>
      <w:r w:rsidRPr="008D32EC">
        <w:rPr>
          <w:rFonts w:ascii="Arial" w:eastAsia="Times New Roman" w:hAnsi="Arial" w:cs="Arial"/>
          <w:sz w:val="20"/>
          <w:szCs w:val="20"/>
          <w:lang w:val="en-US" w:eastAsia="ja-JP"/>
        </w:rPr>
        <w:t>the</w:t>
      </w:r>
      <w:r>
        <w:rPr>
          <w:rFonts w:ascii="Arial" w:eastAsia="Times New Roman" w:hAnsi="Arial" w:cs="Arial"/>
          <w:sz w:val="20"/>
          <w:szCs w:val="20"/>
          <w:lang w:val="en-US" w:eastAsia="ja-JP"/>
        </w:rPr>
        <w:t xml:space="preserve"> </w:t>
      </w:r>
      <w:r w:rsidRPr="008D32EC">
        <w:rPr>
          <w:rFonts w:ascii="Arial" w:eastAsia="Times New Roman" w:hAnsi="Arial" w:cs="Arial"/>
          <w:sz w:val="20"/>
          <w:szCs w:val="20"/>
          <w:lang w:eastAsia="ja-JP"/>
        </w:rPr>
        <w:t>absence of higher priority synchronization sources (e.g., NW or GNSS).</w:t>
      </w:r>
    </w:p>
    <w:p w14:paraId="12F89BEB" w14:textId="77777777" w:rsidR="000E365B" w:rsidRPr="008D32EC" w:rsidRDefault="000E365B" w:rsidP="000E365B">
      <w:pPr>
        <w:pStyle w:val="ListParagraph"/>
        <w:numPr>
          <w:ilvl w:val="0"/>
          <w:numId w:val="34"/>
        </w:numPr>
        <w:overflowPunct/>
        <w:autoSpaceDE/>
        <w:autoSpaceDN/>
        <w:adjustRightInd/>
        <w:spacing w:line="259" w:lineRule="auto"/>
        <w:jc w:val="both"/>
        <w:textAlignment w:val="auto"/>
        <w:rPr>
          <w:rFonts w:ascii="Arial" w:hAnsi="Arial" w:cs="Arial"/>
        </w:rPr>
      </w:pPr>
      <w:r w:rsidRPr="008D32EC">
        <w:rPr>
          <w:rFonts w:ascii="Arial" w:eastAsia="Times New Roman" w:hAnsi="Arial" w:cs="Arial"/>
          <w:sz w:val="20"/>
          <w:szCs w:val="20"/>
          <w:lang w:eastAsia="ja-JP"/>
        </w:rPr>
        <w:t>It allows the NW to propagate information that is relevant for protection of cellular users, particularly those at cell edge. For example, in LTE SL the TDD configuration was part of PSBCH.</w:t>
      </w:r>
    </w:p>
    <w:p w14:paraId="477FDBCF" w14:textId="77777777" w:rsidR="007A5C0B" w:rsidRDefault="007A5C0B" w:rsidP="000E365B">
      <w:pPr>
        <w:jc w:val="both"/>
        <w:rPr>
          <w:rFonts w:cs="Arial"/>
        </w:rPr>
      </w:pPr>
    </w:p>
    <w:p w14:paraId="2F4230DD" w14:textId="72E56588" w:rsidR="000E365B" w:rsidRPr="008D32EC" w:rsidRDefault="00956EC3" w:rsidP="000E365B">
      <w:pPr>
        <w:jc w:val="both"/>
        <w:rPr>
          <w:rFonts w:cs="Arial"/>
        </w:rPr>
      </w:pPr>
      <w:r>
        <w:rPr>
          <w:rFonts w:cs="Arial"/>
        </w:rPr>
        <w:lastRenderedPageBreak/>
        <w:t>Moreover, i</w:t>
      </w:r>
      <w:r w:rsidR="000E365B" w:rsidRPr="008D32EC">
        <w:rPr>
          <w:rFonts w:cs="Arial"/>
        </w:rPr>
        <w:t>t is important to have a unified design of the DMRS for the different physical channel</w:t>
      </w:r>
      <w:r w:rsidR="0095008E">
        <w:rPr>
          <w:rFonts w:cs="Arial"/>
        </w:rPr>
        <w:t>s</w:t>
      </w:r>
      <w:r w:rsidR="000E365B" w:rsidRPr="008D32EC">
        <w:rPr>
          <w:rFonts w:cs="Arial"/>
        </w:rPr>
        <w:t xml:space="preserve"> in NR SL.</w:t>
      </w:r>
    </w:p>
    <w:p w14:paraId="195962BB" w14:textId="50819325" w:rsidR="000E365B" w:rsidRDefault="000E365B" w:rsidP="00B771CF">
      <w:pPr>
        <w:pStyle w:val="Observation"/>
        <w:rPr>
          <w:lang w:val="en-US"/>
        </w:rPr>
      </w:pPr>
      <w:bookmarkStart w:id="4" w:name="_Toc5092351"/>
      <w:bookmarkStart w:id="5" w:name="_Toc5108635"/>
      <w:bookmarkStart w:id="6" w:name="_Toc7809485"/>
      <w:bookmarkStart w:id="7" w:name="_Toc21373296"/>
      <w:r w:rsidRPr="000B7FF9">
        <w:rPr>
          <w:lang w:val="en-US"/>
        </w:rPr>
        <w:t>The design of DMRS in PSBCH</w:t>
      </w:r>
      <w:r>
        <w:t xml:space="preserve"> </w:t>
      </w:r>
      <w:r w:rsidRPr="000B7FF9">
        <w:rPr>
          <w:lang w:val="en-US"/>
        </w:rPr>
        <w:t>follow</w:t>
      </w:r>
      <w:r>
        <w:t>s</w:t>
      </w:r>
      <w:r w:rsidRPr="000B7FF9">
        <w:rPr>
          <w:lang w:val="en-US"/>
        </w:rPr>
        <w:t xml:space="preserve"> the same design as the one defined in PSSCH.</w:t>
      </w:r>
      <w:bookmarkEnd w:id="4"/>
      <w:bookmarkEnd w:id="5"/>
      <w:bookmarkEnd w:id="6"/>
      <w:bookmarkEnd w:id="7"/>
    </w:p>
    <w:p w14:paraId="5193A98E" w14:textId="74D1B65E" w:rsidR="009E2B91" w:rsidRPr="00B771CF" w:rsidRDefault="00956EC3" w:rsidP="00B771CF">
      <w:pPr>
        <w:jc w:val="both"/>
        <w:rPr>
          <w:lang w:val="en-US"/>
        </w:rPr>
      </w:pPr>
      <w:r>
        <w:t>I</w:t>
      </w:r>
      <w:r w:rsidR="002372B9" w:rsidRPr="008D32EC">
        <w:t xml:space="preserve">n order to attain a decent channel estimation quality at </w:t>
      </w:r>
      <w:r w:rsidR="00430406">
        <w:t>S-</w:t>
      </w:r>
      <w:r w:rsidR="00A366AF">
        <w:t>SSB</w:t>
      </w:r>
      <w:r w:rsidR="00430406">
        <w:t xml:space="preserve"> level</w:t>
      </w:r>
      <w:r w:rsidR="002372B9" w:rsidRPr="008D32EC">
        <w:t>, we propose to include DMRS subcarriers FDM</w:t>
      </w:r>
      <w:r w:rsidR="00705C7A">
        <w:t>-</w:t>
      </w:r>
      <w:r w:rsidR="002372B9">
        <w:t>ed</w:t>
      </w:r>
      <w:r w:rsidR="002372B9" w:rsidRPr="008D32EC">
        <w:t xml:space="preserve"> with PSBCH subcarriers</w:t>
      </w:r>
      <w:r w:rsidR="00955607">
        <w:t xml:space="preserve"> along the S-SSB</w:t>
      </w:r>
      <w:r w:rsidR="002372B9" w:rsidRPr="008D32EC">
        <w:t>.</w:t>
      </w:r>
      <w:r w:rsidR="000B4440">
        <w:t xml:space="preserve"> Moreover, since S-SSB is broadcast by every UE in the network, in our view it does not make sense to have more than one pattern for DMRS in PSBCH</w:t>
      </w:r>
      <w:r w:rsidR="00D907DA">
        <w:t>. Therefore,</w:t>
      </w:r>
      <w:r w:rsidR="000B4440">
        <w:t xml:space="preserve"> in order to avoid potential misalignments between the users</w:t>
      </w:r>
      <w:r w:rsidR="00C8237D">
        <w:t xml:space="preserve"> we propose to use</w:t>
      </w:r>
      <w:r w:rsidR="002330D5">
        <w:t xml:space="preserve"> a single DMRS pattern </w:t>
      </w:r>
      <w:r w:rsidR="002504F7">
        <w:t>for channel estimation</w:t>
      </w:r>
      <w:r w:rsidR="002372B9">
        <w:t>.</w:t>
      </w:r>
    </w:p>
    <w:p w14:paraId="51EF436A" w14:textId="0C3540CF" w:rsidR="00865F4E" w:rsidRPr="008A1E0A" w:rsidRDefault="009E2B91" w:rsidP="00B771CF">
      <w:pPr>
        <w:pStyle w:val="Proposal"/>
      </w:pPr>
      <w:bookmarkStart w:id="8" w:name="_Toc21373303"/>
      <w:r w:rsidRPr="00D52D65">
        <w:rPr>
          <w:rFonts w:cs="Arial"/>
          <w:lang w:val="en-US"/>
        </w:rPr>
        <w:t>The channel estimation for PSBCH is based on DMRS</w:t>
      </w:r>
      <w:r>
        <w:rPr>
          <w:rFonts w:cs="Arial"/>
          <w:lang w:val="en-US"/>
        </w:rPr>
        <w:t>.</w:t>
      </w:r>
      <w:r w:rsidRPr="004B50A4">
        <w:rPr>
          <w:rFonts w:cs="Arial"/>
          <w:lang w:val="en-US"/>
        </w:rPr>
        <w:t xml:space="preserve"> A single pattern is defined for PSBCH DMRS.</w:t>
      </w:r>
      <w:bookmarkEnd w:id="8"/>
    </w:p>
    <w:p w14:paraId="6A6F4433" w14:textId="7A4D0F5A" w:rsidR="007A5C0B" w:rsidRDefault="00F84912" w:rsidP="002372B9">
      <w:pPr>
        <w:jc w:val="both"/>
        <w:rPr>
          <w:rFonts w:cs="Arial"/>
        </w:rPr>
      </w:pPr>
      <w:r>
        <w:rPr>
          <w:rFonts w:cs="Arial"/>
        </w:rPr>
        <w:t>I</w:t>
      </w:r>
      <w:r w:rsidR="002372B9" w:rsidRPr="008D32EC">
        <w:rPr>
          <w:rFonts w:cs="Arial"/>
        </w:rPr>
        <w:t>n our view</w:t>
      </w:r>
      <w:r w:rsidR="006F2FEA">
        <w:rPr>
          <w:rFonts w:cs="Arial"/>
        </w:rPr>
        <w:t xml:space="preserve"> </w:t>
      </w:r>
      <w:r w:rsidR="0050454C">
        <w:rPr>
          <w:rFonts w:cs="Arial"/>
        </w:rPr>
        <w:t xml:space="preserve">for the first </w:t>
      </w:r>
      <w:r>
        <w:rPr>
          <w:rFonts w:cs="Arial"/>
        </w:rPr>
        <w:t xml:space="preserve">OFDM symbol </w:t>
      </w:r>
      <w:r w:rsidR="002372B9" w:rsidRPr="008D32EC">
        <w:rPr>
          <w:rFonts w:cs="Arial"/>
        </w:rPr>
        <w:t xml:space="preserve">in </w:t>
      </w:r>
      <w:r>
        <w:rPr>
          <w:rFonts w:cs="Arial"/>
        </w:rPr>
        <w:t>S-SSB</w:t>
      </w:r>
      <w:r w:rsidR="002372B9" w:rsidRPr="008D32EC">
        <w:rPr>
          <w:rFonts w:cs="Arial"/>
        </w:rPr>
        <w:t>,</w:t>
      </w:r>
      <w:r w:rsidR="006F2FEA">
        <w:rPr>
          <w:rFonts w:cs="Arial"/>
        </w:rPr>
        <w:t xml:space="preserve"> </w:t>
      </w:r>
      <w:r w:rsidR="002372B9" w:rsidRPr="008D32EC">
        <w:rPr>
          <w:rFonts w:cs="Arial"/>
        </w:rPr>
        <w:t xml:space="preserve">the DMRS and PSBCH subcarriers should be mapped in a comb-like pattern to the subcarriers, e.g., every other subcarrier in the symbol (namely either all even-index subcarriers or all odd-index subcarriers) </w:t>
      </w:r>
      <w:r w:rsidR="00F90A85">
        <w:rPr>
          <w:rFonts w:cs="Arial"/>
        </w:rPr>
        <w:t>are</w:t>
      </w:r>
      <w:r w:rsidR="002372B9" w:rsidRPr="008D32EC">
        <w:rPr>
          <w:rFonts w:cs="Arial"/>
        </w:rPr>
        <w:t xml:space="preserve"> set to zero, and the DMRS and PSBCH are alternately mapped to the remaining subcarriers. This mapping will result in two identical halves of the first OFDM symbol, serving our desired purposes. Also, </w:t>
      </w:r>
      <w:r w:rsidR="002372B9" w:rsidRPr="00467A63">
        <w:rPr>
          <w:rFonts w:cs="Arial"/>
        </w:rPr>
        <w:t>u</w:t>
      </w:r>
      <w:r w:rsidR="002372B9" w:rsidRPr="008D32EC">
        <w:rPr>
          <w:rFonts w:cs="Arial"/>
        </w:rPr>
        <w:t>sing this scheme, the DMRS can be front-loaded which allows low latency</w:t>
      </w:r>
      <w:r w:rsidR="00F44A0E">
        <w:rPr>
          <w:rFonts w:cs="Arial"/>
        </w:rPr>
        <w:t xml:space="preserve"> communication</w:t>
      </w:r>
      <w:r w:rsidR="002372B9" w:rsidRPr="008D32EC">
        <w:rPr>
          <w:rFonts w:cs="Arial"/>
        </w:rPr>
        <w:t xml:space="preserve"> since the channel can be estimated early.</w:t>
      </w:r>
    </w:p>
    <w:p w14:paraId="4EA054BC" w14:textId="62F320C0" w:rsidR="00056F10" w:rsidRDefault="006F2FEA" w:rsidP="002372B9">
      <w:pPr>
        <w:pStyle w:val="Proposal"/>
        <w:tabs>
          <w:tab w:val="num" w:pos="1871"/>
        </w:tabs>
        <w:overflowPunct/>
        <w:autoSpaceDE/>
        <w:autoSpaceDN/>
        <w:adjustRightInd/>
        <w:spacing w:line="259" w:lineRule="auto"/>
        <w:textAlignment w:val="auto"/>
        <w:rPr>
          <w:rFonts w:cs="Arial"/>
          <w:lang w:val="en-US"/>
        </w:rPr>
      </w:pPr>
      <w:bookmarkStart w:id="9" w:name="_Toc21373304"/>
      <w:r w:rsidRPr="000B7FF9">
        <w:rPr>
          <w:rFonts w:cs="Arial"/>
          <w:lang w:val="en-US"/>
        </w:rPr>
        <w:t xml:space="preserve">The </w:t>
      </w:r>
      <w:r w:rsidR="00EE6237">
        <w:rPr>
          <w:rFonts w:cs="Arial"/>
          <w:lang w:val="en-US"/>
        </w:rPr>
        <w:t xml:space="preserve">DMRS is multiplexed in frequency with </w:t>
      </w:r>
      <w:r w:rsidRPr="000B7FF9">
        <w:rPr>
          <w:rFonts w:cs="Arial"/>
          <w:lang w:val="en-US"/>
        </w:rPr>
        <w:t>PSBCH</w:t>
      </w:r>
      <w:r w:rsidR="00EE6237">
        <w:rPr>
          <w:rFonts w:cs="Arial"/>
          <w:lang w:val="en-US"/>
        </w:rPr>
        <w:t xml:space="preserve"> and mapped in a comb-like pattern </w:t>
      </w:r>
      <w:r w:rsidR="00056F10">
        <w:rPr>
          <w:rFonts w:cs="Arial"/>
          <w:lang w:val="en-US"/>
        </w:rPr>
        <w:t>for the first symbol</w:t>
      </w:r>
      <w:r w:rsidR="002D29B7">
        <w:rPr>
          <w:rFonts w:cs="Arial"/>
          <w:lang w:val="en-US"/>
        </w:rPr>
        <w:t xml:space="preserve"> of S-SSB</w:t>
      </w:r>
      <w:r w:rsidRPr="000B7FF9">
        <w:rPr>
          <w:rFonts w:cs="Arial"/>
          <w:lang w:val="en-US"/>
        </w:rPr>
        <w:t>.</w:t>
      </w:r>
      <w:bookmarkEnd w:id="9"/>
    </w:p>
    <w:p w14:paraId="247A76FE" w14:textId="384A603E" w:rsidR="000166B9" w:rsidRPr="00B771CF" w:rsidRDefault="000166B9" w:rsidP="00B771CF">
      <w:pPr>
        <w:jc w:val="both"/>
        <w:rPr>
          <w:b/>
          <w:bCs/>
        </w:rPr>
      </w:pPr>
      <w:r w:rsidRPr="00B771CF">
        <w:t xml:space="preserve">For the remaining PSBCH symbols in S-SSB, i.e., symbols </w:t>
      </w:r>
      <w:r w:rsidR="0033013E" w:rsidRPr="00B771CF">
        <w:t>5-12</w:t>
      </w:r>
      <w:r w:rsidR="00FC0A26" w:rsidRPr="00B771CF">
        <w:t>, we consid</w:t>
      </w:r>
      <w:r w:rsidR="00187CE4" w:rsidRPr="00B771CF">
        <w:t xml:space="preserve">er </w:t>
      </w:r>
      <w:r w:rsidR="00EC6A8C" w:rsidRPr="008A1E0A">
        <w:t>having</w:t>
      </w:r>
      <w:r w:rsidR="004A456F" w:rsidRPr="00B771CF">
        <w:t xml:space="preserve"> </w:t>
      </w:r>
      <w:r w:rsidR="00C71EA9" w:rsidRPr="00B771CF">
        <w:t>a</w:t>
      </w:r>
      <w:r w:rsidR="00AB4336">
        <w:t xml:space="preserve"> high </w:t>
      </w:r>
      <w:r w:rsidR="00C71EA9" w:rsidRPr="00B771CF">
        <w:t>dens</w:t>
      </w:r>
      <w:r w:rsidR="00AB4336">
        <w:t>ity</w:t>
      </w:r>
      <w:r w:rsidR="00C71EA9" w:rsidRPr="00B771CF">
        <w:t xml:space="preserve"> DMRS pattern </w:t>
      </w:r>
      <w:r w:rsidR="00C74F14" w:rsidRPr="008A1E0A">
        <w:t>like</w:t>
      </w:r>
      <w:r w:rsidR="00C71EA9" w:rsidRPr="00B771CF">
        <w:t xml:space="preserve"> the one used for PSSCH</w:t>
      </w:r>
      <w:r w:rsidR="005733BB">
        <w:t xml:space="preserve"> and proposed</w:t>
      </w:r>
      <w:r w:rsidR="00AA4A5A" w:rsidRPr="00B771CF">
        <w:t xml:space="preserve"> in our companion contribution [1]. Nevertheless, it is not needed to </w:t>
      </w:r>
      <w:r w:rsidR="00302AD5" w:rsidRPr="00B771CF">
        <w:t>include DMRS in every PSBCH symbol</w:t>
      </w:r>
      <w:r w:rsidR="000B1E38">
        <w:t>,</w:t>
      </w:r>
      <w:r w:rsidR="008D192A" w:rsidRPr="00B771CF">
        <w:t xml:space="preserve"> and </w:t>
      </w:r>
      <w:r w:rsidR="000B1E38">
        <w:t>therefore,</w:t>
      </w:r>
      <w:r w:rsidR="008D192A" w:rsidRPr="00B771CF">
        <w:t xml:space="preserve"> </w:t>
      </w:r>
      <w:r w:rsidR="004A07BA">
        <w:t xml:space="preserve">it is possible </w:t>
      </w:r>
      <w:r w:rsidR="008D192A" w:rsidRPr="00B771CF">
        <w:t>to follow a similar approach as in LTE where 4 DMRS symbols were used.</w:t>
      </w:r>
    </w:p>
    <w:p w14:paraId="19E2BC9D" w14:textId="16C4F088" w:rsidR="008D192A" w:rsidRDefault="00464C55" w:rsidP="008A1E0A">
      <w:pPr>
        <w:pStyle w:val="Proposal"/>
        <w:tabs>
          <w:tab w:val="num" w:pos="1871"/>
        </w:tabs>
        <w:overflowPunct/>
        <w:autoSpaceDE/>
        <w:autoSpaceDN/>
        <w:adjustRightInd/>
        <w:spacing w:line="259" w:lineRule="auto"/>
        <w:textAlignment w:val="auto"/>
        <w:rPr>
          <w:rFonts w:cs="Arial"/>
          <w:lang w:val="en-US"/>
        </w:rPr>
      </w:pPr>
      <w:bookmarkStart w:id="10" w:name="_Toc21373305"/>
      <w:r w:rsidRPr="00B771CF">
        <w:rPr>
          <w:rFonts w:cs="Arial"/>
          <w:lang w:val="en-US"/>
        </w:rPr>
        <w:t xml:space="preserve">Include </w:t>
      </w:r>
      <w:r w:rsidR="00E61D10">
        <w:rPr>
          <w:rFonts w:cs="Arial"/>
          <w:lang w:val="en-US"/>
        </w:rPr>
        <w:t xml:space="preserve">4 </w:t>
      </w:r>
      <w:r w:rsidR="00516D92">
        <w:rPr>
          <w:rFonts w:cs="Arial"/>
          <w:lang w:val="en-US"/>
        </w:rPr>
        <w:t xml:space="preserve">DMRS </w:t>
      </w:r>
      <w:r w:rsidR="00E61D10">
        <w:rPr>
          <w:rFonts w:cs="Arial"/>
          <w:lang w:val="en-US"/>
        </w:rPr>
        <w:t xml:space="preserve">symbols using </w:t>
      </w:r>
      <w:r w:rsidR="00555244" w:rsidRPr="00B771CF">
        <w:rPr>
          <w:rFonts w:cs="Arial"/>
          <w:lang w:val="en-US"/>
        </w:rPr>
        <w:t xml:space="preserve">comb-2 </w:t>
      </w:r>
      <w:r w:rsidR="00636AE7" w:rsidRPr="00B771CF">
        <w:rPr>
          <w:rFonts w:cs="Arial"/>
          <w:lang w:val="en-US"/>
        </w:rPr>
        <w:t>DMRS</w:t>
      </w:r>
      <w:r w:rsidR="00555244" w:rsidRPr="00B771CF">
        <w:rPr>
          <w:rFonts w:cs="Arial"/>
          <w:lang w:val="en-US"/>
        </w:rPr>
        <w:t xml:space="preserve"> </w:t>
      </w:r>
      <w:r w:rsidR="00B46F3D" w:rsidRPr="00B771CF">
        <w:rPr>
          <w:rFonts w:cs="Arial"/>
          <w:lang w:val="en-US"/>
        </w:rPr>
        <w:t xml:space="preserve">multiplexed in frequency </w:t>
      </w:r>
      <w:r w:rsidR="00670165">
        <w:rPr>
          <w:rFonts w:cs="Arial"/>
          <w:lang w:val="en-US"/>
        </w:rPr>
        <w:t>for the contiguous PSBCH symbols</w:t>
      </w:r>
      <w:r w:rsidR="000F41B4">
        <w:rPr>
          <w:rFonts w:cs="Arial"/>
          <w:lang w:val="en-US"/>
        </w:rPr>
        <w:t xml:space="preserve"> in S-SSB</w:t>
      </w:r>
      <w:r w:rsidR="00670165">
        <w:rPr>
          <w:rFonts w:cs="Arial"/>
          <w:lang w:val="en-US"/>
        </w:rPr>
        <w:t>.</w:t>
      </w:r>
      <w:bookmarkEnd w:id="10"/>
    </w:p>
    <w:p w14:paraId="765DFAC7" w14:textId="4BE48A49" w:rsidR="00792A19" w:rsidRDefault="00792A19" w:rsidP="00B771CF">
      <w:pPr>
        <w:jc w:val="both"/>
      </w:pPr>
      <w:r>
        <w:t xml:space="preserve">Additionally, </w:t>
      </w:r>
      <w:r w:rsidR="000E65D0">
        <w:t xml:space="preserve">the issue of sequence generation for DMRS needs to be discussed. We propose to follow a similar approach as in </w:t>
      </w:r>
      <w:r w:rsidR="00A427BB">
        <w:t>NR PBCH</w:t>
      </w:r>
      <w:r w:rsidR="002D1481">
        <w:t xml:space="preserve"> using pseudo-random</w:t>
      </w:r>
      <w:r w:rsidR="0092097A">
        <w:t xml:space="preserve"> sequences</w:t>
      </w:r>
      <w:r w:rsidR="00A427BB">
        <w:t xml:space="preserve"> </w:t>
      </w:r>
      <w:r w:rsidR="00804701">
        <w:t>and including</w:t>
      </w:r>
      <w:r w:rsidR="000E65D0">
        <w:t xml:space="preserve"> the </w:t>
      </w:r>
      <w:r w:rsidR="00503A76">
        <w:t>S</w:t>
      </w:r>
      <w:r w:rsidR="009A6038">
        <w:t>LS</w:t>
      </w:r>
      <w:r w:rsidR="00503A76">
        <w:t>SID.</w:t>
      </w:r>
    </w:p>
    <w:p w14:paraId="282ECDA6" w14:textId="1032281B" w:rsidR="00BC55B0" w:rsidRPr="00B771CF" w:rsidRDefault="00BC55B0" w:rsidP="00792A19">
      <w:pPr>
        <w:pStyle w:val="Proposal"/>
        <w:tabs>
          <w:tab w:val="num" w:pos="1871"/>
        </w:tabs>
        <w:overflowPunct/>
        <w:autoSpaceDE/>
        <w:autoSpaceDN/>
        <w:adjustRightInd/>
        <w:spacing w:line="259" w:lineRule="auto"/>
        <w:textAlignment w:val="auto"/>
        <w:rPr>
          <w:rFonts w:cs="Arial"/>
          <w:lang w:val="en-US"/>
        </w:rPr>
      </w:pPr>
      <w:bookmarkStart w:id="11" w:name="_Toc21373306"/>
      <w:r>
        <w:rPr>
          <w:rFonts w:cs="Arial"/>
        </w:rPr>
        <w:t>Use the values from S</w:t>
      </w:r>
      <w:r w:rsidR="00180E1D">
        <w:rPr>
          <w:rFonts w:cs="Arial"/>
        </w:rPr>
        <w:t>LS</w:t>
      </w:r>
      <w:r>
        <w:rPr>
          <w:rFonts w:cs="Arial"/>
        </w:rPr>
        <w:t>SID in order</w:t>
      </w:r>
      <w:r w:rsidR="006B67B0">
        <w:rPr>
          <w:rFonts w:cs="Arial"/>
        </w:rPr>
        <w:t xml:space="preserve"> to generate the sequence for PSBCH DMRS.</w:t>
      </w:r>
      <w:bookmarkEnd w:id="11"/>
    </w:p>
    <w:p w14:paraId="766A9229" w14:textId="51610796" w:rsidR="000A6C39" w:rsidRPr="006D130E" w:rsidRDefault="000A6C39" w:rsidP="000A6C39">
      <w:pPr>
        <w:jc w:val="both"/>
        <w:rPr>
          <w:rFonts w:cs="Arial"/>
        </w:rPr>
      </w:pPr>
      <w:r w:rsidRPr="006D130E">
        <w:rPr>
          <w:rFonts w:cs="Arial"/>
        </w:rPr>
        <w:t>Moreover, using the approach from Proposal 1, a bit in the PSBCH (</w:t>
      </w:r>
      <w:proofErr w:type="gramStart"/>
      <w:r w:rsidRPr="006D130E">
        <w:rPr>
          <w:rFonts w:cs="Arial"/>
        </w:rPr>
        <w:t>similar to</w:t>
      </w:r>
      <w:proofErr w:type="gramEnd"/>
      <w:r w:rsidRPr="006D130E">
        <w:rPr>
          <w:rFonts w:cs="Arial"/>
        </w:rPr>
        <w:t xml:space="preserve"> </w:t>
      </w:r>
      <w:proofErr w:type="spellStart"/>
      <w:r w:rsidRPr="006D130E">
        <w:rPr>
          <w:rFonts w:cs="Arial"/>
        </w:rPr>
        <w:t>inCoverage</w:t>
      </w:r>
      <w:proofErr w:type="spellEnd"/>
      <w:r w:rsidRPr="006D130E">
        <w:rPr>
          <w:rFonts w:cs="Arial"/>
        </w:rPr>
        <w:t xml:space="preserve"> for LTE) is needed to signal the directly or indirectly connection to the synchronization source, so the RX UE can know the synchronization priority.</w:t>
      </w:r>
    </w:p>
    <w:p w14:paraId="07EBA6CC" w14:textId="74BF1B55" w:rsidR="000A6C39" w:rsidRPr="006D130E" w:rsidRDefault="000A6C39">
      <w:pPr>
        <w:pStyle w:val="Proposal"/>
        <w:tabs>
          <w:tab w:val="num" w:pos="1871"/>
        </w:tabs>
        <w:overflowPunct/>
        <w:autoSpaceDE/>
        <w:autoSpaceDN/>
        <w:adjustRightInd/>
        <w:spacing w:line="259" w:lineRule="auto"/>
        <w:textAlignment w:val="auto"/>
        <w:rPr>
          <w:rFonts w:cs="Arial"/>
          <w:lang w:val="en-US"/>
        </w:rPr>
      </w:pPr>
      <w:bookmarkStart w:id="12" w:name="_Toc21373307"/>
      <w:r w:rsidRPr="006D130E">
        <w:rPr>
          <w:rFonts w:cs="Arial"/>
          <w:lang w:val="en-US"/>
        </w:rPr>
        <w:t>A field in PSBCH is included to signal whether the TX UE is directly or indirectly connected to the synchronization source.</w:t>
      </w:r>
      <w:bookmarkEnd w:id="12"/>
    </w:p>
    <w:p w14:paraId="0C1437D4" w14:textId="2466661A" w:rsidR="00DD0608" w:rsidRDefault="009413C4" w:rsidP="00D513DC">
      <w:pPr>
        <w:jc w:val="both"/>
        <w:rPr>
          <w:lang w:val="en-US"/>
        </w:rPr>
      </w:pPr>
      <w:r w:rsidRPr="006D130E">
        <w:rPr>
          <w:rFonts w:cs="Arial"/>
        </w:rPr>
        <w:t xml:space="preserve">One </w:t>
      </w:r>
      <w:r w:rsidR="00D513DC" w:rsidRPr="006D130E">
        <w:rPr>
          <w:rFonts w:cs="Arial"/>
        </w:rPr>
        <w:t xml:space="preserve">aspect of SLSS is </w:t>
      </w:r>
      <w:r w:rsidR="00F36924">
        <w:rPr>
          <w:rFonts w:cs="Arial"/>
        </w:rPr>
        <w:t xml:space="preserve">how the SLSS resources should be configured </w:t>
      </w:r>
      <w:r w:rsidR="00266130">
        <w:rPr>
          <w:rFonts w:cs="Arial"/>
        </w:rPr>
        <w:t xml:space="preserve">when the SL occurs in </w:t>
      </w:r>
      <w:r w:rsidR="002B50F6">
        <w:rPr>
          <w:rFonts w:cs="Arial"/>
        </w:rPr>
        <w:t>a</w:t>
      </w:r>
      <w:r w:rsidR="00266130">
        <w:rPr>
          <w:rFonts w:cs="Arial"/>
        </w:rPr>
        <w:t xml:space="preserve"> licensed carrier. </w:t>
      </w:r>
      <w:r w:rsidR="000F0272">
        <w:rPr>
          <w:rFonts w:cs="Arial"/>
        </w:rPr>
        <w:t xml:space="preserve">Note that </w:t>
      </w:r>
      <w:r w:rsidR="00846AF9">
        <w:rPr>
          <w:rFonts w:cs="Arial"/>
        </w:rPr>
        <w:t>UL transmission</w:t>
      </w:r>
      <w:r w:rsidR="00E93720">
        <w:rPr>
          <w:rFonts w:cs="Arial"/>
        </w:rPr>
        <w:t>s</w:t>
      </w:r>
      <w:r w:rsidR="00846AF9">
        <w:rPr>
          <w:rFonts w:cs="Arial"/>
        </w:rPr>
        <w:t>, especially the PRACH, are</w:t>
      </w:r>
      <w:r w:rsidR="00266130">
        <w:rPr>
          <w:rFonts w:cs="Arial"/>
        </w:rPr>
        <w:t xml:space="preserve"> </w:t>
      </w:r>
      <w:r w:rsidR="00E93720">
        <w:rPr>
          <w:rFonts w:cs="Arial"/>
        </w:rPr>
        <w:t xml:space="preserve">typically </w:t>
      </w:r>
      <w:r w:rsidR="00846AF9">
        <w:rPr>
          <w:rFonts w:cs="Arial"/>
        </w:rPr>
        <w:t>prioritized over SL transmissions. However, since the SLSS is important for the operation of the SL</w:t>
      </w:r>
      <w:r w:rsidR="0072342A">
        <w:rPr>
          <w:rFonts w:cs="Arial"/>
        </w:rPr>
        <w:t xml:space="preserve">, it is desirable to configure the SLSS </w:t>
      </w:r>
      <w:r w:rsidR="00D9186B">
        <w:rPr>
          <w:rFonts w:cs="Arial"/>
        </w:rPr>
        <w:t>to avoid collision with the PRACH occasions</w:t>
      </w:r>
      <w:r w:rsidR="009C1A96">
        <w:rPr>
          <w:rFonts w:cs="Arial"/>
        </w:rPr>
        <w:t xml:space="preserve"> </w:t>
      </w:r>
      <w:r w:rsidR="00D9186B">
        <w:rPr>
          <w:rFonts w:cs="Arial"/>
        </w:rPr>
        <w:t xml:space="preserve">as much as possible. </w:t>
      </w:r>
      <w:r w:rsidR="001830AE">
        <w:rPr>
          <w:rFonts w:cs="Arial"/>
        </w:rPr>
        <w:t>In</w:t>
      </w:r>
      <w:r w:rsidR="00D9186B">
        <w:rPr>
          <w:lang w:val="en-US"/>
        </w:rPr>
        <w:t xml:space="preserve"> NR the PRACH transmission occasions are configured by the network parameter called PRACH configuration period and the configurable value is {10, 20, 40, 80, 160} </w:t>
      </w:r>
      <w:proofErr w:type="spellStart"/>
      <w:r w:rsidR="00D9186B">
        <w:rPr>
          <w:lang w:val="en-US"/>
        </w:rPr>
        <w:t>ms.</w:t>
      </w:r>
      <w:proofErr w:type="spellEnd"/>
      <w:r w:rsidR="00D9186B">
        <w:rPr>
          <w:lang w:val="en-US"/>
        </w:rPr>
        <w:t xml:space="preserve"> Within each PRACH configuration period, the network configures the number of PRACH transmission occasions</w:t>
      </w:r>
      <w:r w:rsidR="0063102A">
        <w:rPr>
          <w:lang w:val="en-US"/>
        </w:rPr>
        <w:t xml:space="preserve">. </w:t>
      </w:r>
      <w:r w:rsidR="004653BE">
        <w:rPr>
          <w:lang w:val="en-US"/>
        </w:rPr>
        <w:t xml:space="preserve">Therefore, in our view it is beneficial to </w:t>
      </w:r>
      <w:r w:rsidR="00020A63">
        <w:rPr>
          <w:lang w:val="en-US"/>
        </w:rPr>
        <w:t>have a configuration</w:t>
      </w:r>
      <w:r w:rsidR="007E7E37">
        <w:rPr>
          <w:lang w:val="en-US"/>
        </w:rPr>
        <w:t xml:space="preserve"> s</w:t>
      </w:r>
      <w:r w:rsidR="00020A63">
        <w:rPr>
          <w:lang w:val="en-US"/>
        </w:rPr>
        <w:t>uch</w:t>
      </w:r>
      <w:r w:rsidR="007E7E37">
        <w:rPr>
          <w:lang w:val="en-US"/>
        </w:rPr>
        <w:t xml:space="preserve"> that SLSS transmissions do not</w:t>
      </w:r>
      <w:r w:rsidR="00020A63">
        <w:rPr>
          <w:lang w:val="en-US"/>
        </w:rPr>
        <w:t xml:space="preserve"> collide with PRACH occasions</w:t>
      </w:r>
      <w:r w:rsidR="00CB4F04">
        <w:rPr>
          <w:lang w:val="en-US"/>
        </w:rPr>
        <w:t xml:space="preserve"> </w:t>
      </w:r>
      <w:r w:rsidR="00207669">
        <w:rPr>
          <w:lang w:val="en-US"/>
        </w:rPr>
        <w:t>wi</w:t>
      </w:r>
      <w:r w:rsidR="00104C3A">
        <w:rPr>
          <w:lang w:val="en-US"/>
        </w:rPr>
        <w:t>th at least th</w:t>
      </w:r>
      <w:r w:rsidR="00972257">
        <w:rPr>
          <w:lang w:val="en-US"/>
        </w:rPr>
        <w:t>ose</w:t>
      </w:r>
      <w:r w:rsidR="00104C3A">
        <w:rPr>
          <w:lang w:val="en-US"/>
        </w:rPr>
        <w:t xml:space="preserve"> </w:t>
      </w:r>
      <w:r w:rsidR="00CB4F04">
        <w:rPr>
          <w:lang w:val="en-US"/>
        </w:rPr>
        <w:t xml:space="preserve">PRACH </w:t>
      </w:r>
      <w:r w:rsidR="00104C3A">
        <w:rPr>
          <w:lang w:val="en-US"/>
        </w:rPr>
        <w:t>which ha</w:t>
      </w:r>
      <w:r w:rsidR="00972257">
        <w:rPr>
          <w:lang w:val="en-US"/>
        </w:rPr>
        <w:t>ve</w:t>
      </w:r>
      <w:r w:rsidR="00104C3A">
        <w:rPr>
          <w:lang w:val="en-US"/>
        </w:rPr>
        <w:t xml:space="preserve"> longer</w:t>
      </w:r>
      <w:r w:rsidR="00CB4F04">
        <w:rPr>
          <w:lang w:val="en-US"/>
        </w:rPr>
        <w:t xml:space="preserve"> period</w:t>
      </w:r>
      <w:r w:rsidR="00972257">
        <w:rPr>
          <w:lang w:val="en-US"/>
        </w:rPr>
        <w:t>i</w:t>
      </w:r>
      <w:r w:rsidR="00104C3A">
        <w:rPr>
          <w:lang w:val="en-US"/>
        </w:rPr>
        <w:t>cities</w:t>
      </w:r>
      <w:r w:rsidR="00CB4F04">
        <w:rPr>
          <w:lang w:val="en-US"/>
        </w:rPr>
        <w:t>.</w:t>
      </w:r>
    </w:p>
    <w:p w14:paraId="2E265B0A" w14:textId="5E7C6A12" w:rsidR="009413C4" w:rsidRPr="002A04BA" w:rsidRDefault="00DD0608" w:rsidP="00677FA3">
      <w:pPr>
        <w:pStyle w:val="Proposal"/>
        <w:rPr>
          <w:lang w:val="en-US"/>
        </w:rPr>
      </w:pPr>
      <w:bookmarkStart w:id="13" w:name="_Toc21373308"/>
      <w:r w:rsidRPr="006D130E">
        <w:rPr>
          <w:lang w:val="en-US"/>
        </w:rPr>
        <w:t xml:space="preserve">RAN1 assumes that </w:t>
      </w:r>
      <w:r w:rsidR="0086643B" w:rsidRPr="006D130E">
        <w:rPr>
          <w:lang w:val="en-US"/>
        </w:rPr>
        <w:t>network</w:t>
      </w:r>
      <w:r w:rsidRPr="006D130E">
        <w:rPr>
          <w:lang w:val="en-US"/>
        </w:rPr>
        <w:t xml:space="preserve"> configuration avoids collision of SLSS transmissions with PRACH occasions at least when PRACH </w:t>
      </w:r>
      <w:r w:rsidRPr="00677FA3">
        <w:t>configuration</w:t>
      </w:r>
      <w:r w:rsidRPr="006D130E">
        <w:rPr>
          <w:lang w:val="en-US"/>
        </w:rPr>
        <w:t xml:space="preserve"> period is larger than 40 </w:t>
      </w:r>
      <w:proofErr w:type="spellStart"/>
      <w:r w:rsidRPr="006D130E">
        <w:rPr>
          <w:lang w:val="en-US"/>
        </w:rPr>
        <w:t>ms.</w:t>
      </w:r>
      <w:bookmarkEnd w:id="13"/>
      <w:proofErr w:type="spellEnd"/>
      <w:r w:rsidR="0063102A" w:rsidRPr="002A04BA">
        <w:rPr>
          <w:lang w:val="en-US"/>
        </w:rPr>
        <w:t xml:space="preserve"> </w:t>
      </w:r>
      <w:r w:rsidR="009C1A96" w:rsidRPr="006D130E">
        <w:rPr>
          <w:lang w:val="en-US"/>
        </w:rPr>
        <w:t xml:space="preserve"> </w:t>
      </w:r>
    </w:p>
    <w:p w14:paraId="132EB5A1" w14:textId="43D59DF8" w:rsidR="000E365B" w:rsidRPr="00D06686" w:rsidRDefault="00423EAC" w:rsidP="000E365B">
      <w:pPr>
        <w:pStyle w:val="Heading1"/>
      </w:pPr>
      <w:r>
        <w:lastRenderedPageBreak/>
        <w:t>4</w:t>
      </w:r>
      <w:r w:rsidR="000E365B">
        <w:tab/>
      </w:r>
      <w:r w:rsidR="000E365B" w:rsidRPr="008D32EC">
        <w:t>S-SSB Periodicity</w:t>
      </w:r>
    </w:p>
    <w:p w14:paraId="39ECDC14" w14:textId="387EB4D5" w:rsidR="00AC0782" w:rsidRPr="00473023" w:rsidRDefault="00AC0782" w:rsidP="00AC0782">
      <w:r>
        <w:rPr>
          <w:noProof/>
        </w:rPr>
        <mc:AlternateContent>
          <mc:Choice Requires="wps">
            <w:drawing>
              <wp:anchor distT="45720" distB="45720" distL="114300" distR="114300" simplePos="0" relativeHeight="251658240" behindDoc="0" locked="0" layoutInCell="1" allowOverlap="1" wp14:anchorId="25EAF507" wp14:editId="233315D2">
                <wp:simplePos x="0" y="0"/>
                <wp:positionH relativeFrom="margin">
                  <wp:align>left</wp:align>
                </wp:positionH>
                <wp:positionV relativeFrom="paragraph">
                  <wp:posOffset>354762</wp:posOffset>
                </wp:positionV>
                <wp:extent cx="6047105" cy="2294255"/>
                <wp:effectExtent l="0" t="0" r="1079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2294255"/>
                        </a:xfrm>
                        <a:prstGeom prst="rect">
                          <a:avLst/>
                        </a:prstGeom>
                        <a:solidFill>
                          <a:srgbClr val="FFFFFF"/>
                        </a:solidFill>
                        <a:ln w="9525">
                          <a:solidFill>
                            <a:srgbClr val="000000"/>
                          </a:solidFill>
                          <a:miter lim="800000"/>
                          <a:headEnd/>
                          <a:tailEnd/>
                        </a:ln>
                      </wps:spPr>
                      <wps:txbx>
                        <w:txbxContent>
                          <w:p w14:paraId="4B506F25" w14:textId="77777777" w:rsidR="00AB68D1" w:rsidRPr="00583F97" w:rsidRDefault="00AB68D1" w:rsidP="00AB68D1">
                            <w:pPr>
                              <w:rPr>
                                <w:highlight w:val="green"/>
                                <w:lang w:eastAsia="x-none"/>
                              </w:rPr>
                            </w:pPr>
                            <w:r w:rsidRPr="00583F97">
                              <w:rPr>
                                <w:highlight w:val="green"/>
                                <w:lang w:eastAsia="x-none"/>
                              </w:rPr>
                              <w:t>Agreements:</w:t>
                            </w:r>
                          </w:p>
                          <w:p w14:paraId="67C4C983" w14:textId="77777777" w:rsidR="00AB68D1" w:rsidRPr="00583F97" w:rsidRDefault="00AB68D1" w:rsidP="00AB68D1">
                            <w:pPr>
                              <w:rPr>
                                <w:lang w:eastAsia="x-none"/>
                              </w:rPr>
                            </w:pPr>
                            <w:r w:rsidRPr="00583F97">
                              <w:rPr>
                                <w:lang w:eastAsia="x-none"/>
                              </w:rPr>
                              <w:t xml:space="preserve">The following values with </w:t>
                            </w:r>
                            <w:r w:rsidRPr="00583F97">
                              <w:rPr>
                                <w:color w:val="FF0000"/>
                                <w:u w:val="single"/>
                                <w:lang w:eastAsia="x-none"/>
                              </w:rPr>
                              <w:t>change marks</w:t>
                            </w:r>
                            <w:r w:rsidRPr="00583F97">
                              <w:rPr>
                                <w:lang w:eastAsia="x-none"/>
                              </w:rPr>
                              <w:t xml:space="preserve"> are further agreed:</w:t>
                            </w:r>
                          </w:p>
                          <w:p w14:paraId="03739616" w14:textId="77777777" w:rsidR="00AB68D1" w:rsidRPr="00583F97" w:rsidRDefault="00AB68D1" w:rsidP="00AB68D1">
                            <w:pPr>
                              <w:numPr>
                                <w:ilvl w:val="0"/>
                                <w:numId w:val="46"/>
                              </w:numPr>
                              <w:overflowPunct/>
                              <w:autoSpaceDE/>
                              <w:autoSpaceDN/>
                              <w:adjustRightInd/>
                              <w:spacing w:after="0"/>
                              <w:ind w:left="720"/>
                              <w:textAlignment w:val="auto"/>
                              <w:rPr>
                                <w:lang w:eastAsia="x-none"/>
                              </w:rPr>
                            </w:pPr>
                            <w:r w:rsidRPr="00583F97">
                              <w:rPr>
                                <w:lang w:eastAsia="x-none"/>
                              </w:rPr>
                              <w:t>Note: the values in bracket are subject to further discussion regarding potential removal all-together</w:t>
                            </w:r>
                          </w:p>
                          <w:p w14:paraId="04518843" w14:textId="77777777" w:rsidR="00AB68D1" w:rsidRPr="00583F97" w:rsidRDefault="00AB68D1" w:rsidP="00AB68D1">
                            <w:pPr>
                              <w:ind w:leftChars="160" w:left="320"/>
                            </w:pPr>
                            <w:r w:rsidRPr="00583F97">
                              <w:rPr>
                                <w:lang w:eastAsia="zh-CN"/>
                              </w:rPr>
                              <w:t>For FR1:</w:t>
                            </w:r>
                          </w:p>
                          <w:p w14:paraId="46E523A4" w14:textId="77777777" w:rsidR="00AB68D1" w:rsidRPr="00583F97" w:rsidRDefault="00AB68D1" w:rsidP="00AB68D1">
                            <w:pPr>
                              <w:numPr>
                                <w:ilvl w:val="1"/>
                                <w:numId w:val="47"/>
                              </w:numPr>
                              <w:tabs>
                                <w:tab w:val="clear" w:pos="1080"/>
                                <w:tab w:val="num" w:pos="-960"/>
                              </w:tabs>
                              <w:overflowPunct/>
                              <w:autoSpaceDE/>
                              <w:autoSpaceDN/>
                              <w:adjustRightInd/>
                              <w:spacing w:after="0"/>
                              <w:ind w:leftChars="340" w:left="1040"/>
                              <w:jc w:val="both"/>
                              <w:textAlignment w:val="auto"/>
                            </w:pPr>
                            <w:r w:rsidRPr="00583F97">
                              <w:t xml:space="preserve">For 15kHz SCS, {1, </w:t>
                            </w:r>
                            <w:r w:rsidRPr="00583F97">
                              <w:rPr>
                                <w:rFonts w:eastAsia="DengXian" w:hint="eastAsia"/>
                                <w:lang w:eastAsia="zh-CN"/>
                              </w:rPr>
                              <w:t>[</w:t>
                            </w:r>
                            <w:r w:rsidRPr="00583F97">
                              <w:t>2</w:t>
                            </w:r>
                            <w:r w:rsidRPr="00583F97">
                              <w:rPr>
                                <w:rFonts w:eastAsia="DengXian" w:hint="eastAsia"/>
                                <w:lang w:eastAsia="zh-CN"/>
                              </w:rPr>
                              <w:t>]</w:t>
                            </w:r>
                            <w:r w:rsidRPr="00583F97">
                              <w:t>}</w:t>
                            </w:r>
                          </w:p>
                          <w:p w14:paraId="5F953859" w14:textId="77777777" w:rsidR="00AB68D1" w:rsidRPr="00583F97" w:rsidRDefault="00AB68D1" w:rsidP="00AB68D1">
                            <w:pPr>
                              <w:numPr>
                                <w:ilvl w:val="1"/>
                                <w:numId w:val="47"/>
                              </w:numPr>
                              <w:tabs>
                                <w:tab w:val="clear" w:pos="1080"/>
                                <w:tab w:val="num" w:pos="-560"/>
                              </w:tabs>
                              <w:overflowPunct/>
                              <w:autoSpaceDE/>
                              <w:autoSpaceDN/>
                              <w:adjustRightInd/>
                              <w:spacing w:after="0"/>
                              <w:ind w:leftChars="340" w:left="1040"/>
                              <w:jc w:val="both"/>
                              <w:textAlignment w:val="auto"/>
                            </w:pPr>
                            <w:r w:rsidRPr="00583F97">
                              <w:t>For 30kHz SCS, {1, 2</w:t>
                            </w:r>
                            <w:r w:rsidRPr="00583F97">
                              <w:rPr>
                                <w:rFonts w:eastAsia="DengXian" w:hint="eastAsia"/>
                                <w:lang w:eastAsia="zh-CN"/>
                              </w:rPr>
                              <w:t xml:space="preserve">, </w:t>
                            </w:r>
                            <w:r w:rsidRPr="00583F97">
                              <w:rPr>
                                <w:rFonts w:eastAsia="DengXian" w:hint="eastAsia"/>
                                <w:color w:val="FF0000"/>
                                <w:lang w:eastAsia="zh-CN"/>
                              </w:rPr>
                              <w:t>[4]</w:t>
                            </w:r>
                            <w:r w:rsidRPr="00583F97">
                              <w:t>}</w:t>
                            </w:r>
                          </w:p>
                          <w:p w14:paraId="7A9F8C24" w14:textId="77777777" w:rsidR="00AB68D1" w:rsidRPr="00583F97" w:rsidRDefault="00AB68D1" w:rsidP="00AB68D1">
                            <w:pPr>
                              <w:numPr>
                                <w:ilvl w:val="1"/>
                                <w:numId w:val="47"/>
                              </w:numPr>
                              <w:tabs>
                                <w:tab w:val="clear" w:pos="1080"/>
                                <w:tab w:val="num" w:pos="-160"/>
                              </w:tabs>
                              <w:overflowPunct/>
                              <w:autoSpaceDE/>
                              <w:autoSpaceDN/>
                              <w:adjustRightInd/>
                              <w:spacing w:after="0"/>
                              <w:ind w:leftChars="340" w:left="1040"/>
                              <w:jc w:val="both"/>
                              <w:textAlignment w:val="auto"/>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DengXian" w:hint="eastAsia"/>
                                <w:color w:val="FF0000"/>
                                <w:u w:val="single"/>
                                <w:lang w:eastAsia="zh-CN"/>
                              </w:rPr>
                              <w:t>[</w:t>
                            </w:r>
                            <w:r w:rsidRPr="00583F97">
                              <w:rPr>
                                <w:color w:val="FF0000"/>
                                <w:u w:val="single"/>
                              </w:rPr>
                              <w:t>8</w:t>
                            </w:r>
                            <w:r w:rsidRPr="00583F97">
                              <w:rPr>
                                <w:rFonts w:eastAsia="DengXian" w:hint="eastAsia"/>
                                <w:color w:val="FF0000"/>
                                <w:u w:val="single"/>
                                <w:lang w:eastAsia="zh-CN"/>
                              </w:rPr>
                              <w:t>]</w:t>
                            </w:r>
                            <w:r w:rsidRPr="00583F97">
                              <w:t>}</w:t>
                            </w:r>
                          </w:p>
                          <w:p w14:paraId="55D02ACD" w14:textId="77777777" w:rsidR="00AB68D1" w:rsidRPr="00583F97" w:rsidRDefault="00AB68D1" w:rsidP="00AB68D1">
                            <w:pPr>
                              <w:ind w:leftChars="160" w:left="320"/>
                              <w:rPr>
                                <w:lang w:eastAsia="zh-CN"/>
                              </w:rPr>
                            </w:pPr>
                            <w:r w:rsidRPr="00583F97">
                              <w:rPr>
                                <w:lang w:eastAsia="zh-CN"/>
                              </w:rPr>
                              <w:t>For FR2:</w:t>
                            </w:r>
                          </w:p>
                          <w:p w14:paraId="2E06DFB4" w14:textId="77777777" w:rsidR="00AB68D1" w:rsidRPr="00583F97" w:rsidRDefault="00AB68D1" w:rsidP="00AB68D1">
                            <w:pPr>
                              <w:numPr>
                                <w:ilvl w:val="1"/>
                                <w:numId w:val="47"/>
                              </w:numPr>
                              <w:tabs>
                                <w:tab w:val="clear" w:pos="1080"/>
                                <w:tab w:val="num" w:pos="240"/>
                              </w:tabs>
                              <w:overflowPunct/>
                              <w:autoSpaceDE/>
                              <w:autoSpaceDN/>
                              <w:adjustRightInd/>
                              <w:spacing w:after="0"/>
                              <w:ind w:leftChars="340" w:left="1040"/>
                              <w:jc w:val="both"/>
                              <w:textAlignment w:val="auto"/>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14:paraId="58C0BF13" w14:textId="77777777" w:rsidR="00AB68D1" w:rsidRPr="00583F97" w:rsidRDefault="00AB68D1" w:rsidP="00AB68D1">
                            <w:pPr>
                              <w:numPr>
                                <w:ilvl w:val="1"/>
                                <w:numId w:val="47"/>
                              </w:numPr>
                              <w:tabs>
                                <w:tab w:val="clear" w:pos="1080"/>
                              </w:tabs>
                              <w:overflowPunct/>
                              <w:autoSpaceDE/>
                              <w:autoSpaceDN/>
                              <w:adjustRightInd/>
                              <w:spacing w:after="0"/>
                              <w:ind w:leftChars="340" w:left="1040"/>
                              <w:jc w:val="both"/>
                              <w:textAlignment w:val="auto"/>
                            </w:pPr>
                            <w:r w:rsidRPr="00583F97">
                              <w:t>For 120kHz SCS, {</w:t>
                            </w:r>
                            <w:r w:rsidRPr="00583F97">
                              <w:rPr>
                                <w:rFonts w:eastAsia="DengXian"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14:paraId="3B5E3AD3" w14:textId="757213D7" w:rsidR="00AB68D1" w:rsidRDefault="00AB68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EAF507" id="_x0000_t202" coordsize="21600,21600" o:spt="202" path="m,l,21600r21600,l21600,xe">
                <v:stroke joinstyle="miter"/>
                <v:path gradientshapeok="t" o:connecttype="rect"/>
              </v:shapetype>
              <v:shape id="Text Box 2" o:spid="_x0000_s1026" type="#_x0000_t202" style="position:absolute;margin-left:0;margin-top:27.95pt;width:476.15pt;height:180.6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">
                <v:textbox>
                  <w:txbxContent>
                    <w:p w14:paraId="4B506F25" w14:textId="77777777" w:rsidR="00AB68D1" w:rsidRPr="00583F97" w:rsidRDefault="00AB68D1" w:rsidP="00AB68D1">
                      <w:pPr>
                        <w:rPr>
                          <w:highlight w:val="green"/>
                          <w:lang w:eastAsia="x-none"/>
                        </w:rPr>
                      </w:pPr>
                      <w:r w:rsidRPr="00583F97">
                        <w:rPr>
                          <w:highlight w:val="green"/>
                          <w:lang w:eastAsia="x-none"/>
                        </w:rPr>
                        <w:t>Agreements:</w:t>
                      </w:r>
                    </w:p>
                    <w:p w14:paraId="67C4C983" w14:textId="77777777" w:rsidR="00AB68D1" w:rsidRPr="00583F97" w:rsidRDefault="00AB68D1" w:rsidP="00AB68D1">
                      <w:pPr>
                        <w:rPr>
                          <w:lang w:eastAsia="x-none"/>
                        </w:rPr>
                      </w:pPr>
                      <w:r w:rsidRPr="00583F97">
                        <w:rPr>
                          <w:lang w:eastAsia="x-none"/>
                        </w:rPr>
                        <w:t xml:space="preserve">The following values with </w:t>
                      </w:r>
                      <w:r w:rsidRPr="00583F97">
                        <w:rPr>
                          <w:color w:val="FF0000"/>
                          <w:u w:val="single"/>
                          <w:lang w:eastAsia="x-none"/>
                        </w:rPr>
                        <w:t>change marks</w:t>
                      </w:r>
                      <w:r w:rsidRPr="00583F97">
                        <w:rPr>
                          <w:lang w:eastAsia="x-none"/>
                        </w:rPr>
                        <w:t xml:space="preserve"> are further agreed:</w:t>
                      </w:r>
                    </w:p>
                    <w:p w14:paraId="03739616" w14:textId="77777777" w:rsidR="00AB68D1" w:rsidRPr="00583F97" w:rsidRDefault="00AB68D1" w:rsidP="00AB68D1">
                      <w:pPr>
                        <w:numPr>
                          <w:ilvl w:val="0"/>
                          <w:numId w:val="46"/>
                        </w:numPr>
                        <w:overflowPunct/>
                        <w:autoSpaceDE/>
                        <w:autoSpaceDN/>
                        <w:adjustRightInd/>
                        <w:spacing w:after="0"/>
                        <w:ind w:left="720"/>
                        <w:textAlignment w:val="auto"/>
                        <w:rPr>
                          <w:lang w:eastAsia="x-none"/>
                        </w:rPr>
                      </w:pPr>
                      <w:r w:rsidRPr="00583F97">
                        <w:rPr>
                          <w:lang w:eastAsia="x-none"/>
                        </w:rPr>
                        <w:t>Note: the values in bracket are subject to further discussion regarding potential removal all-together</w:t>
                      </w:r>
                    </w:p>
                    <w:p w14:paraId="04518843" w14:textId="77777777" w:rsidR="00AB68D1" w:rsidRPr="00583F97" w:rsidRDefault="00AB68D1" w:rsidP="00AB68D1">
                      <w:pPr>
                        <w:ind w:leftChars="160" w:left="320"/>
                      </w:pPr>
                      <w:r w:rsidRPr="00583F97">
                        <w:rPr>
                          <w:lang w:eastAsia="zh-CN"/>
                        </w:rPr>
                        <w:t>For FR1:</w:t>
                      </w:r>
                    </w:p>
                    <w:p w14:paraId="46E523A4" w14:textId="77777777" w:rsidR="00AB68D1" w:rsidRPr="00583F97" w:rsidRDefault="00AB68D1" w:rsidP="00AB68D1">
                      <w:pPr>
                        <w:numPr>
                          <w:ilvl w:val="1"/>
                          <w:numId w:val="47"/>
                        </w:numPr>
                        <w:tabs>
                          <w:tab w:val="clear" w:pos="1080"/>
                          <w:tab w:val="num" w:pos="-960"/>
                        </w:tabs>
                        <w:overflowPunct/>
                        <w:autoSpaceDE/>
                        <w:autoSpaceDN/>
                        <w:adjustRightInd/>
                        <w:spacing w:after="0"/>
                        <w:ind w:leftChars="340" w:left="1040"/>
                        <w:jc w:val="both"/>
                        <w:textAlignment w:val="auto"/>
                      </w:pPr>
                      <w:r w:rsidRPr="00583F97">
                        <w:t xml:space="preserve">For 15kHz SCS, {1, </w:t>
                      </w:r>
                      <w:r w:rsidRPr="00583F97">
                        <w:rPr>
                          <w:rFonts w:eastAsia="DengXian" w:hint="eastAsia"/>
                          <w:lang w:eastAsia="zh-CN"/>
                        </w:rPr>
                        <w:t>[</w:t>
                      </w:r>
                      <w:r w:rsidRPr="00583F97">
                        <w:t>2</w:t>
                      </w:r>
                      <w:r w:rsidRPr="00583F97">
                        <w:rPr>
                          <w:rFonts w:eastAsia="DengXian" w:hint="eastAsia"/>
                          <w:lang w:eastAsia="zh-CN"/>
                        </w:rPr>
                        <w:t>]</w:t>
                      </w:r>
                      <w:r w:rsidRPr="00583F97">
                        <w:t>}</w:t>
                      </w:r>
                    </w:p>
                    <w:p w14:paraId="5F953859" w14:textId="77777777" w:rsidR="00AB68D1" w:rsidRPr="00583F97" w:rsidRDefault="00AB68D1" w:rsidP="00AB68D1">
                      <w:pPr>
                        <w:numPr>
                          <w:ilvl w:val="1"/>
                          <w:numId w:val="47"/>
                        </w:numPr>
                        <w:tabs>
                          <w:tab w:val="clear" w:pos="1080"/>
                          <w:tab w:val="num" w:pos="-560"/>
                        </w:tabs>
                        <w:overflowPunct/>
                        <w:autoSpaceDE/>
                        <w:autoSpaceDN/>
                        <w:adjustRightInd/>
                        <w:spacing w:after="0"/>
                        <w:ind w:leftChars="340" w:left="1040"/>
                        <w:jc w:val="both"/>
                        <w:textAlignment w:val="auto"/>
                      </w:pPr>
                      <w:r w:rsidRPr="00583F97">
                        <w:t>For 30kHz SCS, {1, 2</w:t>
                      </w:r>
                      <w:r w:rsidRPr="00583F97">
                        <w:rPr>
                          <w:rFonts w:eastAsia="DengXian" w:hint="eastAsia"/>
                          <w:lang w:eastAsia="zh-CN"/>
                        </w:rPr>
                        <w:t xml:space="preserve">, </w:t>
                      </w:r>
                      <w:r w:rsidRPr="00583F97">
                        <w:rPr>
                          <w:rFonts w:eastAsia="DengXian" w:hint="eastAsia"/>
                          <w:color w:val="FF0000"/>
                          <w:lang w:eastAsia="zh-CN"/>
                        </w:rPr>
                        <w:t>[4]</w:t>
                      </w:r>
                      <w:r w:rsidRPr="00583F97">
                        <w:t>}</w:t>
                      </w:r>
                    </w:p>
                    <w:p w14:paraId="7A9F8C24" w14:textId="77777777" w:rsidR="00AB68D1" w:rsidRPr="00583F97" w:rsidRDefault="00AB68D1" w:rsidP="00AB68D1">
                      <w:pPr>
                        <w:numPr>
                          <w:ilvl w:val="1"/>
                          <w:numId w:val="47"/>
                        </w:numPr>
                        <w:tabs>
                          <w:tab w:val="clear" w:pos="1080"/>
                          <w:tab w:val="num" w:pos="-160"/>
                        </w:tabs>
                        <w:overflowPunct/>
                        <w:autoSpaceDE/>
                        <w:autoSpaceDN/>
                        <w:adjustRightInd/>
                        <w:spacing w:after="0"/>
                        <w:ind w:leftChars="340" w:left="1040"/>
                        <w:jc w:val="both"/>
                        <w:textAlignment w:val="auto"/>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DengXian" w:hint="eastAsia"/>
                          <w:color w:val="FF0000"/>
                          <w:u w:val="single"/>
                          <w:lang w:eastAsia="zh-CN"/>
                        </w:rPr>
                        <w:t>[</w:t>
                      </w:r>
                      <w:r w:rsidRPr="00583F97">
                        <w:rPr>
                          <w:color w:val="FF0000"/>
                          <w:u w:val="single"/>
                        </w:rPr>
                        <w:t>8</w:t>
                      </w:r>
                      <w:r w:rsidRPr="00583F97">
                        <w:rPr>
                          <w:rFonts w:eastAsia="DengXian" w:hint="eastAsia"/>
                          <w:color w:val="FF0000"/>
                          <w:u w:val="single"/>
                          <w:lang w:eastAsia="zh-CN"/>
                        </w:rPr>
                        <w:t>]</w:t>
                      </w:r>
                      <w:r w:rsidRPr="00583F97">
                        <w:t>}</w:t>
                      </w:r>
                    </w:p>
                    <w:p w14:paraId="55D02ACD" w14:textId="77777777" w:rsidR="00AB68D1" w:rsidRPr="00583F97" w:rsidRDefault="00AB68D1" w:rsidP="00AB68D1">
                      <w:pPr>
                        <w:ind w:leftChars="160" w:left="320"/>
                        <w:rPr>
                          <w:lang w:eastAsia="zh-CN"/>
                        </w:rPr>
                      </w:pPr>
                      <w:r w:rsidRPr="00583F97">
                        <w:rPr>
                          <w:lang w:eastAsia="zh-CN"/>
                        </w:rPr>
                        <w:t>For FR2:</w:t>
                      </w:r>
                    </w:p>
                    <w:p w14:paraId="2E06DFB4" w14:textId="77777777" w:rsidR="00AB68D1" w:rsidRPr="00583F97" w:rsidRDefault="00AB68D1" w:rsidP="00AB68D1">
                      <w:pPr>
                        <w:numPr>
                          <w:ilvl w:val="1"/>
                          <w:numId w:val="47"/>
                        </w:numPr>
                        <w:tabs>
                          <w:tab w:val="clear" w:pos="1080"/>
                          <w:tab w:val="num" w:pos="240"/>
                        </w:tabs>
                        <w:overflowPunct/>
                        <w:autoSpaceDE/>
                        <w:autoSpaceDN/>
                        <w:adjustRightInd/>
                        <w:spacing w:after="0"/>
                        <w:ind w:leftChars="340" w:left="1040"/>
                        <w:jc w:val="both"/>
                        <w:textAlignment w:val="auto"/>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14:paraId="58C0BF13" w14:textId="77777777" w:rsidR="00AB68D1" w:rsidRPr="00583F97" w:rsidRDefault="00AB68D1" w:rsidP="00AB68D1">
                      <w:pPr>
                        <w:numPr>
                          <w:ilvl w:val="1"/>
                          <w:numId w:val="47"/>
                        </w:numPr>
                        <w:tabs>
                          <w:tab w:val="clear" w:pos="1080"/>
                        </w:tabs>
                        <w:overflowPunct/>
                        <w:autoSpaceDE/>
                        <w:autoSpaceDN/>
                        <w:adjustRightInd/>
                        <w:spacing w:after="0"/>
                        <w:ind w:leftChars="340" w:left="1040"/>
                        <w:jc w:val="both"/>
                        <w:textAlignment w:val="auto"/>
                      </w:pPr>
                      <w:r w:rsidRPr="00583F97">
                        <w:t>For 120kHz SCS, {</w:t>
                      </w:r>
                      <w:r w:rsidRPr="00583F97">
                        <w:rPr>
                          <w:rFonts w:eastAsia="DengXian"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14:paraId="3B5E3AD3" w14:textId="757213D7" w:rsidR="00AB68D1" w:rsidRDefault="00AB68D1"/>
                  </w:txbxContent>
                </v:textbox>
                <w10:wrap type="square" anchorx="margin"/>
              </v:shape>
            </w:pict>
          </mc:Fallback>
        </mc:AlternateContent>
      </w:r>
      <w:r>
        <w:t>During last RAN1 meeting and the subsequent e-mail discussion the following periodicities for S-SSB were agreed</w:t>
      </w:r>
    </w:p>
    <w:p w14:paraId="3F118DB2" w14:textId="374EB58F" w:rsidR="00B86C3B" w:rsidRPr="006D130E" w:rsidRDefault="003C1D49" w:rsidP="006D130E">
      <w:pPr>
        <w:rPr>
          <w:rFonts w:cs="Arial"/>
          <w:lang w:val="en-US"/>
        </w:rPr>
      </w:pPr>
      <w:r>
        <w:t xml:space="preserve">The values in </w:t>
      </w:r>
      <w:r w:rsidR="00790A4A">
        <w:t xml:space="preserve">brackets are still under discussion, but in our </w:t>
      </w:r>
      <w:r w:rsidR="00750442">
        <w:t xml:space="preserve">view, </w:t>
      </w:r>
      <w:r w:rsidR="00790A4A">
        <w:t>the</w:t>
      </w:r>
      <w:r w:rsidR="00A80177">
        <w:t>se values</w:t>
      </w:r>
      <w:r w:rsidR="00790A4A">
        <w:t xml:space="preserve"> </w:t>
      </w:r>
      <w:r w:rsidR="001F3D7F">
        <w:t xml:space="preserve">are not </w:t>
      </w:r>
      <w:r w:rsidR="00F575C1">
        <w:t>motivated</w:t>
      </w:r>
      <w:r w:rsidR="00790A4A">
        <w:t>:</w:t>
      </w:r>
    </w:p>
    <w:p w14:paraId="28BE3DEA" w14:textId="6197F1A2" w:rsidR="00B86C3B" w:rsidRPr="00473023" w:rsidRDefault="001F3D7F" w:rsidP="00B86C3B">
      <w:pPr>
        <w:pStyle w:val="Proposal"/>
        <w:tabs>
          <w:tab w:val="num" w:pos="1871"/>
        </w:tabs>
        <w:overflowPunct/>
        <w:autoSpaceDE/>
        <w:autoSpaceDN/>
        <w:adjustRightInd/>
        <w:spacing w:line="259" w:lineRule="auto"/>
        <w:ind w:left="0" w:firstLine="0"/>
        <w:textAlignment w:val="auto"/>
        <w:rPr>
          <w:rFonts w:cs="Arial"/>
          <w:lang w:val="en-US"/>
        </w:rPr>
      </w:pPr>
      <w:bookmarkStart w:id="14" w:name="_Toc21373309"/>
      <w:r>
        <w:rPr>
          <w:rFonts w:cs="Arial"/>
          <w:lang w:val="en-US"/>
        </w:rPr>
        <w:t>Remove</w:t>
      </w:r>
      <w:r w:rsidRPr="00473023">
        <w:rPr>
          <w:rFonts w:cs="Arial"/>
          <w:lang w:val="en-US"/>
        </w:rPr>
        <w:t xml:space="preserve"> </w:t>
      </w:r>
      <w:r w:rsidR="00B86C3B" w:rsidRPr="00473023">
        <w:rPr>
          <w:rFonts w:cs="Arial"/>
          <w:lang w:val="en-US"/>
        </w:rPr>
        <w:t>the values in brackets for S-SSB periodicity.</w:t>
      </w:r>
      <w:bookmarkEnd w:id="14"/>
    </w:p>
    <w:p w14:paraId="073DD798" w14:textId="3F859FF3" w:rsidR="00594476" w:rsidRDefault="0046592B" w:rsidP="0046592B">
      <w:pPr>
        <w:pStyle w:val="Heading1"/>
      </w:pPr>
      <w:bookmarkStart w:id="15" w:name="_Toc21334811"/>
      <w:bookmarkStart w:id="16" w:name="_Toc21334845"/>
      <w:bookmarkStart w:id="17" w:name="_Toc21334812"/>
      <w:bookmarkStart w:id="18" w:name="_Toc21334846"/>
      <w:bookmarkStart w:id="19" w:name="_Toc21334813"/>
      <w:bookmarkStart w:id="20" w:name="_Toc21334847"/>
      <w:bookmarkStart w:id="21" w:name="_Toc21334814"/>
      <w:bookmarkStart w:id="22" w:name="_Toc21334848"/>
      <w:bookmarkStart w:id="23" w:name="_Toc21334815"/>
      <w:bookmarkStart w:id="24" w:name="_Toc21334849"/>
      <w:bookmarkStart w:id="25" w:name="_Toc21334816"/>
      <w:bookmarkStart w:id="26" w:name="_Toc21334850"/>
      <w:bookmarkStart w:id="27" w:name="_Toc21334817"/>
      <w:bookmarkStart w:id="28" w:name="_Toc21334851"/>
      <w:bookmarkStart w:id="29" w:name="_Toc21334818"/>
      <w:bookmarkStart w:id="30" w:name="_Toc21334852"/>
      <w:bookmarkStart w:id="31" w:name="_Toc21334819"/>
      <w:bookmarkStart w:id="32" w:name="_Toc21334853"/>
      <w:bookmarkStart w:id="33" w:name="_Toc21334820"/>
      <w:bookmarkStart w:id="34" w:name="_Toc21334854"/>
      <w:bookmarkStart w:id="35" w:name="_Toc21334821"/>
      <w:bookmarkStart w:id="36" w:name="_Toc21334855"/>
      <w:bookmarkStart w:id="37" w:name="_Toc21334822"/>
      <w:bookmarkStart w:id="38" w:name="_Toc2133485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5</w:t>
      </w:r>
      <w:r w:rsidRPr="0046592B">
        <w:t xml:space="preserve"> </w:t>
      </w:r>
      <w:r w:rsidRPr="0046592B">
        <w:tab/>
      </w:r>
      <w:r>
        <w:t>Synchronization Source Priorities</w:t>
      </w:r>
    </w:p>
    <w:p w14:paraId="04560B17" w14:textId="5DD019AD" w:rsidR="0046592B" w:rsidRPr="0046592B" w:rsidRDefault="0046592B" w:rsidP="0046592B">
      <w:r>
        <w:t xml:space="preserve">During </w:t>
      </w:r>
      <w:r w:rsidR="00B02074">
        <w:t>the last meeting RAN#98 and in an email discussion the following table of synchronization priorities was agreed:</w:t>
      </w:r>
    </w:p>
    <w:tbl>
      <w:tblPr>
        <w:tblW w:w="9180" w:type="dxa"/>
        <w:jc w:val="center"/>
        <w:tblCellMar>
          <w:left w:w="0" w:type="dxa"/>
          <w:right w:w="0" w:type="dxa"/>
        </w:tblCellMar>
        <w:tblLook w:val="04A0" w:firstRow="1" w:lastRow="0" w:firstColumn="1" w:lastColumn="0" w:noHBand="0" w:noVBand="1"/>
      </w:tblPr>
      <w:tblGrid>
        <w:gridCol w:w="4644"/>
        <w:gridCol w:w="4536"/>
      </w:tblGrid>
      <w:tr w:rsidR="00594476" w:rsidRPr="00C50C18" w14:paraId="356E7C0B" w14:textId="77777777" w:rsidTr="0054441E">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F7114A0" w14:textId="77777777" w:rsidR="00594476" w:rsidRPr="00C50C18" w:rsidRDefault="00594476" w:rsidP="0054441E">
            <w:pPr>
              <w:spacing w:beforeLines="50" w:before="120" w:afterLines="50" w:after="120"/>
              <w:jc w:val="center"/>
              <w:rPr>
                <w:rFonts w:eastAsia="DengXian" w:cs="Arial"/>
                <w:color w:val="FFFFFF"/>
                <w:sz w:val="21"/>
                <w:szCs w:val="21"/>
              </w:rPr>
            </w:pPr>
            <w:r w:rsidRPr="00C50C18">
              <w:rPr>
                <w:rFonts w:cs="Arial"/>
                <w:b/>
                <w:bCs/>
                <w:color w:val="FFFFFF"/>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0311139" w14:textId="77777777" w:rsidR="00594476" w:rsidRPr="00C50C18" w:rsidRDefault="00594476" w:rsidP="0054441E">
            <w:pPr>
              <w:spacing w:beforeLines="50" w:before="120" w:afterLines="50" w:after="120"/>
              <w:jc w:val="center"/>
              <w:rPr>
                <w:rFonts w:eastAsia="DengXian" w:cs="Arial"/>
                <w:color w:val="FFFFFF"/>
                <w:sz w:val="21"/>
                <w:szCs w:val="21"/>
              </w:rPr>
            </w:pPr>
            <w:proofErr w:type="spellStart"/>
            <w:r w:rsidRPr="00C50C18">
              <w:rPr>
                <w:rFonts w:cs="Arial"/>
                <w:b/>
                <w:bCs/>
                <w:color w:val="FFFFFF"/>
              </w:rPr>
              <w:t>gNB</w:t>
            </w:r>
            <w:proofErr w:type="spellEnd"/>
            <w:r w:rsidRPr="00C50C18">
              <w:rPr>
                <w:rFonts w:cs="Arial"/>
                <w:b/>
                <w:bCs/>
                <w:color w:val="FFFFFF"/>
              </w:rPr>
              <w:t>/</w:t>
            </w:r>
            <w:proofErr w:type="spellStart"/>
            <w:r w:rsidRPr="00C50C18">
              <w:rPr>
                <w:rFonts w:cs="Arial"/>
                <w:b/>
                <w:bCs/>
                <w:color w:val="FFFFFF"/>
              </w:rPr>
              <w:t>eNB</w:t>
            </w:r>
            <w:proofErr w:type="spellEnd"/>
            <w:r w:rsidRPr="00C50C18">
              <w:rPr>
                <w:rFonts w:cs="Arial"/>
                <w:b/>
                <w:bCs/>
                <w:color w:val="FFFFFF"/>
              </w:rPr>
              <w:t>-based synchronization</w:t>
            </w:r>
          </w:p>
        </w:tc>
      </w:tr>
      <w:tr w:rsidR="00594476" w:rsidRPr="00C50C18" w14:paraId="530A93C0" w14:textId="77777777" w:rsidTr="0054441E">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A997EA5" w14:textId="77777777" w:rsidR="00594476" w:rsidRPr="00C50C18" w:rsidRDefault="00594476" w:rsidP="0054441E">
            <w:pPr>
              <w:spacing w:beforeLines="50" w:before="120" w:afterLines="50" w:after="120" w:line="276" w:lineRule="auto"/>
              <w:ind w:left="720" w:hanging="720"/>
              <w:rPr>
                <w:rFonts w:eastAsia="DengXian" w:cs="Arial"/>
                <w:sz w:val="21"/>
                <w:szCs w:val="21"/>
              </w:rPr>
            </w:pPr>
            <w:r w:rsidRPr="00C50C18">
              <w:rPr>
                <w:rFonts w:cs="Arial"/>
              </w:rPr>
              <w:t>•</w:t>
            </w:r>
            <w:r w:rsidRPr="00C50C18">
              <w:rPr>
                <w:sz w:val="14"/>
                <w:szCs w:val="14"/>
              </w:rPr>
              <w:t xml:space="preserve">                 </w:t>
            </w:r>
            <w:r w:rsidRPr="00C50C18">
              <w:rPr>
                <w:rFonts w:cs="Arial"/>
              </w:rPr>
              <w:t xml:space="preserve">P0: GNSS </w:t>
            </w:r>
          </w:p>
          <w:p w14:paraId="1D9C792E"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 xml:space="preserve">P1: UE directly synchronized to GNSS </w:t>
            </w:r>
          </w:p>
          <w:p w14:paraId="16E18925"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P2: UE indirectly synchronized to GNSS</w:t>
            </w:r>
          </w:p>
          <w:p w14:paraId="65570317" w14:textId="77777777" w:rsidR="00594476" w:rsidRPr="00C50C18" w:rsidRDefault="00594476" w:rsidP="0054441E">
            <w:pPr>
              <w:spacing w:beforeLines="50" w:before="120" w:afterLines="50" w:after="120" w:line="276" w:lineRule="auto"/>
              <w:ind w:left="720" w:hanging="720"/>
              <w:rPr>
                <w:rFonts w:cs="Arial"/>
                <w:color w:val="FF0000"/>
              </w:rPr>
            </w:pPr>
            <w:r w:rsidRPr="00C50C18">
              <w:rPr>
                <w:rFonts w:cs="Arial"/>
                <w:color w:val="FF0000"/>
              </w:rPr>
              <w:t>•</w:t>
            </w:r>
            <w:r w:rsidRPr="00C50C18">
              <w:rPr>
                <w:color w:val="FF0000"/>
                <w:sz w:val="14"/>
                <w:szCs w:val="14"/>
              </w:rPr>
              <w:t xml:space="preserve">                 </w:t>
            </w:r>
            <w:r w:rsidRPr="00C50C18">
              <w:rPr>
                <w:rFonts w:cs="Arial"/>
                <w:color w:val="FF0000"/>
              </w:rPr>
              <w:t xml:space="preserve">P3: </w:t>
            </w:r>
            <w:proofErr w:type="spellStart"/>
            <w:r w:rsidRPr="00C50C18">
              <w:rPr>
                <w:rFonts w:cs="Arial"/>
                <w:color w:val="FF0000"/>
              </w:rPr>
              <w:t>gNB</w:t>
            </w:r>
            <w:proofErr w:type="spellEnd"/>
            <w:r w:rsidRPr="00C50C18">
              <w:rPr>
                <w:rFonts w:cs="Arial"/>
                <w:color w:val="FF0000"/>
              </w:rPr>
              <w:t>/</w:t>
            </w:r>
            <w:proofErr w:type="spellStart"/>
            <w:r w:rsidRPr="00C50C18">
              <w:rPr>
                <w:rFonts w:cs="Arial"/>
                <w:color w:val="FF0000"/>
              </w:rPr>
              <w:t>eNB</w:t>
            </w:r>
            <w:proofErr w:type="spellEnd"/>
          </w:p>
          <w:p w14:paraId="561E8177" w14:textId="77777777" w:rsidR="00594476" w:rsidRPr="00C50C18" w:rsidRDefault="00594476" w:rsidP="0054441E">
            <w:pPr>
              <w:spacing w:beforeLines="50" w:before="120" w:afterLines="50" w:after="120" w:line="276" w:lineRule="auto"/>
              <w:ind w:left="720" w:hanging="720"/>
              <w:rPr>
                <w:rFonts w:cs="Arial"/>
                <w:color w:val="FF0000"/>
              </w:rPr>
            </w:pPr>
            <w:r w:rsidRPr="00C50C18">
              <w:rPr>
                <w:rFonts w:cs="Arial"/>
                <w:color w:val="FF0000"/>
              </w:rPr>
              <w:t>•</w:t>
            </w:r>
            <w:r w:rsidRPr="00C50C18">
              <w:rPr>
                <w:color w:val="FF0000"/>
                <w:sz w:val="14"/>
                <w:szCs w:val="14"/>
              </w:rPr>
              <w:t xml:space="preserve">                 </w:t>
            </w:r>
            <w:r w:rsidRPr="00C50C18">
              <w:rPr>
                <w:rFonts w:cs="Arial"/>
                <w:color w:val="FF0000"/>
              </w:rPr>
              <w:t xml:space="preserve">P4: UE directly synchronized to </w:t>
            </w:r>
            <w:proofErr w:type="spellStart"/>
            <w:r w:rsidRPr="00C50C18">
              <w:rPr>
                <w:rFonts w:cs="Arial"/>
                <w:color w:val="FF0000"/>
              </w:rPr>
              <w:t>gNB</w:t>
            </w:r>
            <w:proofErr w:type="spellEnd"/>
            <w:r w:rsidRPr="00C50C18">
              <w:rPr>
                <w:rFonts w:cs="Arial"/>
                <w:color w:val="FF0000"/>
              </w:rPr>
              <w:t>/</w:t>
            </w:r>
            <w:proofErr w:type="spellStart"/>
            <w:r w:rsidRPr="00C50C18">
              <w:rPr>
                <w:rFonts w:cs="Arial"/>
                <w:color w:val="FF0000"/>
              </w:rPr>
              <w:t>eNB</w:t>
            </w:r>
            <w:proofErr w:type="spellEnd"/>
            <w:r w:rsidRPr="00C50C18">
              <w:rPr>
                <w:rFonts w:cs="Arial"/>
                <w:color w:val="FF0000"/>
              </w:rPr>
              <w:t xml:space="preserve"> </w:t>
            </w:r>
          </w:p>
          <w:p w14:paraId="6B599296" w14:textId="77777777" w:rsidR="00594476" w:rsidRPr="00C50C18" w:rsidRDefault="00594476" w:rsidP="0054441E">
            <w:pPr>
              <w:spacing w:beforeLines="50" w:before="120" w:afterLines="50" w:after="120" w:line="276" w:lineRule="auto"/>
              <w:ind w:left="720" w:hanging="720"/>
              <w:rPr>
                <w:rFonts w:cs="Arial"/>
                <w:color w:val="FF0000"/>
              </w:rPr>
            </w:pPr>
            <w:r w:rsidRPr="00C50C18">
              <w:rPr>
                <w:rFonts w:cs="Arial"/>
                <w:color w:val="FF0000"/>
              </w:rPr>
              <w:t>•</w:t>
            </w:r>
            <w:r w:rsidRPr="00C50C18">
              <w:rPr>
                <w:color w:val="FF0000"/>
                <w:sz w:val="14"/>
                <w:szCs w:val="14"/>
              </w:rPr>
              <w:t xml:space="preserve">                 </w:t>
            </w:r>
            <w:r w:rsidRPr="00C50C18">
              <w:rPr>
                <w:rFonts w:cs="Arial"/>
                <w:color w:val="FF0000"/>
              </w:rPr>
              <w:t xml:space="preserve">P5: UE indirectly synchronized to </w:t>
            </w:r>
            <w:proofErr w:type="spellStart"/>
            <w:r w:rsidRPr="00C50C18">
              <w:rPr>
                <w:rFonts w:cs="Arial"/>
                <w:color w:val="FF0000"/>
              </w:rPr>
              <w:t>gNB</w:t>
            </w:r>
            <w:proofErr w:type="spellEnd"/>
            <w:r w:rsidRPr="00C50C18">
              <w:rPr>
                <w:rFonts w:cs="Arial"/>
                <w:color w:val="FF0000"/>
              </w:rPr>
              <w:t>/</w:t>
            </w:r>
            <w:proofErr w:type="spellStart"/>
            <w:r w:rsidRPr="00C50C18">
              <w:rPr>
                <w:rFonts w:cs="Arial"/>
                <w:color w:val="FF0000"/>
              </w:rPr>
              <w:t>eNB</w:t>
            </w:r>
            <w:proofErr w:type="spellEnd"/>
            <w:r w:rsidRPr="00C50C18">
              <w:rPr>
                <w:rFonts w:cs="Arial"/>
                <w:color w:val="FF0000"/>
              </w:rPr>
              <w:t xml:space="preserve"> </w:t>
            </w:r>
          </w:p>
          <w:p w14:paraId="665974F5" w14:textId="77777777" w:rsidR="00594476" w:rsidRPr="00C50C18" w:rsidRDefault="00594476" w:rsidP="0054441E">
            <w:pPr>
              <w:spacing w:beforeLines="50" w:before="120" w:afterLines="50" w:after="120" w:line="276" w:lineRule="auto"/>
              <w:ind w:left="720" w:hanging="720"/>
              <w:jc w:val="both"/>
              <w:rPr>
                <w:rFonts w:eastAsia="DengXian" w:cs="Arial"/>
                <w:sz w:val="21"/>
                <w:szCs w:val="21"/>
              </w:rPr>
            </w:pPr>
            <w:r w:rsidRPr="00C50C18">
              <w:rPr>
                <w:rFonts w:cs="Arial"/>
              </w:rPr>
              <w:t>•</w:t>
            </w:r>
            <w:r w:rsidRPr="00C50C18">
              <w:rPr>
                <w:sz w:val="14"/>
                <w:szCs w:val="14"/>
              </w:rPr>
              <w:t xml:space="preserve">                 </w:t>
            </w:r>
            <w:r w:rsidRPr="00C50C18">
              <w:rPr>
                <w:rFonts w:cs="Arial"/>
              </w:rPr>
              <w:t>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0E8CD93" w14:textId="77777777" w:rsidR="00594476" w:rsidRPr="00C50C18" w:rsidRDefault="00594476" w:rsidP="0054441E">
            <w:pPr>
              <w:spacing w:beforeLines="50" w:before="120" w:afterLines="50" w:after="120" w:line="276" w:lineRule="auto"/>
              <w:ind w:left="720" w:hanging="720"/>
              <w:rPr>
                <w:rFonts w:eastAsia="DengXian" w:cs="Arial"/>
                <w:sz w:val="21"/>
                <w:szCs w:val="21"/>
              </w:rPr>
            </w:pPr>
            <w:r w:rsidRPr="00C50C18">
              <w:rPr>
                <w:rFonts w:cs="Arial"/>
              </w:rPr>
              <w:t>•</w:t>
            </w:r>
            <w:r w:rsidRPr="00C50C18">
              <w:rPr>
                <w:sz w:val="14"/>
                <w:szCs w:val="14"/>
              </w:rPr>
              <w:t xml:space="preserve">                 </w:t>
            </w:r>
            <w:r w:rsidRPr="00C50C18">
              <w:rPr>
                <w:rFonts w:cs="Arial"/>
              </w:rPr>
              <w:t xml:space="preserve">P0’: </w:t>
            </w:r>
            <w:proofErr w:type="spellStart"/>
            <w:r w:rsidRPr="00C50C18">
              <w:rPr>
                <w:rFonts w:cs="Arial"/>
              </w:rPr>
              <w:t>gNB</w:t>
            </w:r>
            <w:proofErr w:type="spellEnd"/>
            <w:r w:rsidRPr="00C50C18">
              <w:rPr>
                <w:rFonts w:cs="Arial"/>
              </w:rPr>
              <w:t>/</w:t>
            </w:r>
            <w:proofErr w:type="spellStart"/>
            <w:r w:rsidRPr="00C50C18">
              <w:rPr>
                <w:rFonts w:cs="Arial"/>
              </w:rPr>
              <w:t>eNB</w:t>
            </w:r>
            <w:proofErr w:type="spellEnd"/>
          </w:p>
          <w:p w14:paraId="4E232976"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 xml:space="preserve">P1’: UE directly synchronized to </w:t>
            </w:r>
            <w:proofErr w:type="spellStart"/>
            <w:r w:rsidRPr="00C50C18">
              <w:rPr>
                <w:rFonts w:cs="Arial"/>
              </w:rPr>
              <w:t>gNB</w:t>
            </w:r>
            <w:proofErr w:type="spellEnd"/>
            <w:r w:rsidRPr="00C50C18">
              <w:rPr>
                <w:rFonts w:cs="Arial"/>
              </w:rPr>
              <w:t>/</w:t>
            </w:r>
            <w:proofErr w:type="spellStart"/>
            <w:r w:rsidRPr="00C50C18">
              <w:rPr>
                <w:rFonts w:cs="Arial"/>
              </w:rPr>
              <w:t>eNB</w:t>
            </w:r>
            <w:proofErr w:type="spellEnd"/>
            <w:r w:rsidRPr="00C50C18">
              <w:rPr>
                <w:rFonts w:cs="Arial"/>
              </w:rPr>
              <w:t xml:space="preserve"> </w:t>
            </w:r>
          </w:p>
          <w:p w14:paraId="35FA8263"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 xml:space="preserve">P2’: UE indirectly synchronized to </w:t>
            </w:r>
            <w:proofErr w:type="spellStart"/>
            <w:r w:rsidRPr="00C50C18">
              <w:rPr>
                <w:rFonts w:cs="Arial"/>
              </w:rPr>
              <w:t>gNB</w:t>
            </w:r>
            <w:proofErr w:type="spellEnd"/>
            <w:r w:rsidRPr="00C50C18">
              <w:rPr>
                <w:rFonts w:cs="Arial"/>
              </w:rPr>
              <w:t>/</w:t>
            </w:r>
            <w:proofErr w:type="spellStart"/>
            <w:r w:rsidRPr="00C50C18">
              <w:rPr>
                <w:rFonts w:cs="Arial"/>
              </w:rPr>
              <w:t>eNB</w:t>
            </w:r>
            <w:proofErr w:type="spellEnd"/>
            <w:r w:rsidRPr="00C50C18">
              <w:rPr>
                <w:rFonts w:cs="Arial"/>
              </w:rPr>
              <w:t xml:space="preserve"> </w:t>
            </w:r>
          </w:p>
          <w:p w14:paraId="6668E6BB"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 xml:space="preserve">P3’: GNSS </w:t>
            </w:r>
          </w:p>
          <w:p w14:paraId="61687ACF"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 xml:space="preserve">P4’: UE directly synchronized to GNSS </w:t>
            </w:r>
          </w:p>
          <w:p w14:paraId="003C401A" w14:textId="77777777" w:rsidR="00594476" w:rsidRPr="00C50C18" w:rsidRDefault="00594476" w:rsidP="0054441E">
            <w:pPr>
              <w:spacing w:beforeLines="50" w:before="120" w:afterLines="50" w:after="120" w:line="276" w:lineRule="auto"/>
              <w:ind w:left="720" w:hanging="720"/>
              <w:rPr>
                <w:rFonts w:cs="Arial"/>
              </w:rPr>
            </w:pPr>
            <w:r w:rsidRPr="00C50C18">
              <w:rPr>
                <w:rFonts w:cs="Arial"/>
              </w:rPr>
              <w:t>•</w:t>
            </w:r>
            <w:r w:rsidRPr="00C50C18">
              <w:rPr>
                <w:sz w:val="14"/>
                <w:szCs w:val="14"/>
              </w:rPr>
              <w:t xml:space="preserve">                 </w:t>
            </w:r>
            <w:r w:rsidRPr="00C50C18">
              <w:rPr>
                <w:rFonts w:cs="Arial"/>
              </w:rPr>
              <w:t>P5’: UE indirectly synchronized to GNSS</w:t>
            </w:r>
          </w:p>
          <w:p w14:paraId="2273E450" w14:textId="77777777" w:rsidR="00594476" w:rsidRPr="00C50C18" w:rsidRDefault="00594476" w:rsidP="0054441E">
            <w:pPr>
              <w:spacing w:beforeLines="50" w:before="120" w:afterLines="50" w:after="120" w:line="276" w:lineRule="auto"/>
              <w:ind w:left="720" w:hanging="720"/>
              <w:jc w:val="both"/>
              <w:rPr>
                <w:rFonts w:eastAsia="DengXian" w:cs="Arial"/>
                <w:sz w:val="21"/>
                <w:szCs w:val="21"/>
              </w:rPr>
            </w:pPr>
            <w:r w:rsidRPr="00C50C18">
              <w:rPr>
                <w:rFonts w:cs="Arial"/>
              </w:rPr>
              <w:t>•</w:t>
            </w:r>
            <w:r w:rsidRPr="00C50C18">
              <w:rPr>
                <w:sz w:val="14"/>
                <w:szCs w:val="14"/>
              </w:rPr>
              <w:t xml:space="preserve">                 </w:t>
            </w:r>
            <w:r w:rsidRPr="00C50C18">
              <w:rPr>
                <w:rFonts w:cs="Arial"/>
              </w:rPr>
              <w:t xml:space="preserve">P6’: the remaining UEs have the lowest priority. </w:t>
            </w:r>
          </w:p>
        </w:tc>
      </w:tr>
    </w:tbl>
    <w:p w14:paraId="5D5CBD5F" w14:textId="13A76DBB" w:rsidR="000720B3" w:rsidRPr="006D130E" w:rsidRDefault="00805007" w:rsidP="006D130E">
      <w:pPr>
        <w:pStyle w:val="Proposal"/>
        <w:numPr>
          <w:ilvl w:val="0"/>
          <w:numId w:val="0"/>
        </w:numPr>
        <w:overflowPunct/>
        <w:autoSpaceDE/>
        <w:autoSpaceDN/>
        <w:adjustRightInd/>
        <w:spacing w:line="259" w:lineRule="auto"/>
        <w:ind w:left="1304" w:hanging="1304"/>
        <w:textAlignment w:val="auto"/>
        <w:rPr>
          <w:rStyle w:val="CommentReference"/>
          <w:rFonts w:eastAsia="DengXian" w:cs="Arial"/>
          <w:sz w:val="20"/>
          <w:szCs w:val="20"/>
          <w:lang w:val="en-US"/>
        </w:rPr>
      </w:pPr>
      <w:r>
        <w:rPr>
          <w:rStyle w:val="CommentReference"/>
          <w:b w:val="0"/>
          <w:bCs w:val="0"/>
          <w:lang w:eastAsia="ja-JP"/>
        </w:rPr>
        <w:t xml:space="preserve"> </w:t>
      </w:r>
    </w:p>
    <w:p w14:paraId="4B930FEB" w14:textId="355A4DFC" w:rsidR="000720B3" w:rsidRDefault="000720B3" w:rsidP="002A04BA">
      <w:pPr>
        <w:pStyle w:val="CommentText"/>
        <w:rPr>
          <w:lang w:eastAsia="en-GB"/>
        </w:rPr>
      </w:pPr>
      <w:r>
        <w:rPr>
          <w:lang w:eastAsia="en-GB"/>
        </w:rPr>
        <w:t>However, it has not been agreed how to deal with S-SSBs coming from two different sources with the same synchronization priority. In this case, since RAN4 already started the discussion regarding this issue, we propose to let the discussion happen there.</w:t>
      </w:r>
    </w:p>
    <w:p w14:paraId="10F0E4B8" w14:textId="5F709120" w:rsidR="00C8645E" w:rsidRDefault="000720B3" w:rsidP="00677FA3">
      <w:pPr>
        <w:pStyle w:val="Proposal"/>
        <w:rPr>
          <w:rFonts w:eastAsia="DengXian"/>
          <w:lang w:val="en-US"/>
        </w:rPr>
      </w:pPr>
      <w:bookmarkStart w:id="39" w:name="_Toc21373310"/>
      <w:r w:rsidRPr="006D130E">
        <w:rPr>
          <w:lang w:val="en-US"/>
        </w:rPr>
        <w:lastRenderedPageBreak/>
        <w:t xml:space="preserve">RAN4 </w:t>
      </w:r>
      <w:r w:rsidRPr="00677FA3">
        <w:t>should</w:t>
      </w:r>
      <w:r w:rsidRPr="006D130E">
        <w:rPr>
          <w:lang w:val="en-US"/>
        </w:rPr>
        <w:t xml:space="preserve"> study how to select between </w:t>
      </w:r>
      <w:r w:rsidR="007744A2" w:rsidRPr="006D130E">
        <w:rPr>
          <w:lang w:val="en-US"/>
        </w:rPr>
        <w:t>different synchronization sources</w:t>
      </w:r>
      <w:r w:rsidRPr="006D130E">
        <w:rPr>
          <w:lang w:val="en-US"/>
        </w:rPr>
        <w:t xml:space="preserve"> when both are present and have equal priority. RAN4 will inform other WGs if there is any specification impact, for example to RAN1.</w:t>
      </w:r>
      <w:bookmarkEnd w:id="39"/>
    </w:p>
    <w:p w14:paraId="3C72A003" w14:textId="3273429C" w:rsidR="000E365B" w:rsidRPr="0088664B" w:rsidRDefault="00974EEB" w:rsidP="000E365B">
      <w:pPr>
        <w:pStyle w:val="Heading1"/>
        <w:rPr>
          <w:rFonts w:cs="Arial"/>
          <w:highlight w:val="yellow"/>
        </w:rPr>
      </w:pPr>
      <w:r>
        <w:t>6</w:t>
      </w:r>
      <w:r w:rsidR="000E365B">
        <w:tab/>
      </w:r>
      <w:r w:rsidR="000E365B" w:rsidRPr="00927884">
        <w:rPr>
          <w:rFonts w:cs="Arial"/>
        </w:rPr>
        <w:t xml:space="preserve">SLSS </w:t>
      </w:r>
      <w:r w:rsidR="000E365B" w:rsidRPr="00084F4C">
        <w:rPr>
          <w:rFonts w:cs="Arial"/>
        </w:rPr>
        <w:t>procedures</w:t>
      </w:r>
    </w:p>
    <w:p w14:paraId="14715F4B" w14:textId="77777777" w:rsidR="000E365B" w:rsidRPr="009F6173" w:rsidRDefault="000E365B" w:rsidP="000E365B">
      <w:pPr>
        <w:jc w:val="both"/>
        <w:rPr>
          <w:rFonts w:cs="Arial"/>
          <w:b/>
          <w:lang w:val="en-US"/>
        </w:rPr>
      </w:pPr>
      <w:bookmarkStart w:id="40" w:name="_Toc540752"/>
      <w:bookmarkStart w:id="41" w:name="_Toc540806"/>
      <w:r w:rsidRPr="009F6173">
        <w:rPr>
          <w:rFonts w:cs="Arial"/>
          <w:lang w:val="en-US"/>
        </w:rPr>
        <w:t>Regarding the overhead associated with the SLSS procedure, we observe the following:</w:t>
      </w:r>
      <w:bookmarkEnd w:id="40"/>
      <w:bookmarkEnd w:id="41"/>
    </w:p>
    <w:p w14:paraId="5C618FAB" w14:textId="77777777" w:rsidR="000E365B" w:rsidRPr="00232AFB" w:rsidRDefault="000E365B" w:rsidP="000E365B">
      <w:pPr>
        <w:pStyle w:val="ListParagraph"/>
        <w:numPr>
          <w:ilvl w:val="0"/>
          <w:numId w:val="29"/>
        </w:numPr>
        <w:overflowPunct/>
        <w:autoSpaceDE/>
        <w:autoSpaceDN/>
        <w:adjustRightInd/>
        <w:spacing w:after="240" w:line="259" w:lineRule="auto"/>
        <w:jc w:val="both"/>
        <w:textAlignment w:val="auto"/>
        <w:rPr>
          <w:rFonts w:cs="Arial"/>
          <w:b/>
          <w:szCs w:val="20"/>
        </w:rPr>
      </w:pPr>
      <w:bookmarkStart w:id="42" w:name="_Toc540753"/>
      <w:bookmarkStart w:id="43" w:name="_Toc540807"/>
      <w:bookmarkStart w:id="44" w:name="_Toc540853"/>
      <w:bookmarkStart w:id="45" w:name="_Toc540904"/>
      <w:bookmarkStart w:id="46" w:name="_Toc540985"/>
      <w:bookmarkStart w:id="47" w:name="_Toc541073"/>
      <w:bookmarkStart w:id="48" w:name="_Toc541124"/>
      <w:bookmarkStart w:id="49" w:name="_Toc541182"/>
      <w:r w:rsidRPr="00232AFB">
        <w:rPr>
          <w:rFonts w:ascii="Arial" w:hAnsi="Arial" w:cs="Arial"/>
          <w:sz w:val="20"/>
          <w:szCs w:val="20"/>
        </w:rPr>
        <w:t>Transmission and reception of PSBCH has very minor complexity. Indeed, all cellular UEs are required to decode PBCH, which is expected to be similar to PSBCH.</w:t>
      </w:r>
      <w:bookmarkEnd w:id="42"/>
      <w:bookmarkEnd w:id="43"/>
      <w:bookmarkEnd w:id="44"/>
      <w:bookmarkEnd w:id="45"/>
      <w:bookmarkEnd w:id="46"/>
      <w:bookmarkEnd w:id="47"/>
      <w:bookmarkEnd w:id="48"/>
      <w:bookmarkEnd w:id="49"/>
    </w:p>
    <w:p w14:paraId="25D181A4" w14:textId="77777777" w:rsidR="000E365B" w:rsidRPr="00232AFB" w:rsidRDefault="000E365B" w:rsidP="000E365B">
      <w:pPr>
        <w:pStyle w:val="ListParagraph"/>
        <w:numPr>
          <w:ilvl w:val="0"/>
          <w:numId w:val="29"/>
        </w:numPr>
        <w:overflowPunct/>
        <w:autoSpaceDE/>
        <w:autoSpaceDN/>
        <w:adjustRightInd/>
        <w:spacing w:after="240" w:line="259" w:lineRule="auto"/>
        <w:jc w:val="both"/>
        <w:textAlignment w:val="auto"/>
        <w:rPr>
          <w:rFonts w:cs="Arial"/>
          <w:b/>
          <w:szCs w:val="20"/>
        </w:rPr>
      </w:pPr>
      <w:bookmarkStart w:id="50" w:name="_Toc540754"/>
      <w:bookmarkStart w:id="51" w:name="_Toc540808"/>
      <w:bookmarkStart w:id="52" w:name="_Toc540854"/>
      <w:bookmarkStart w:id="53" w:name="_Toc540905"/>
      <w:bookmarkStart w:id="54" w:name="_Toc540986"/>
      <w:bookmarkStart w:id="55" w:name="_Toc541074"/>
      <w:bookmarkStart w:id="56" w:name="_Toc541125"/>
      <w:bookmarkStart w:id="57" w:name="_Toc541183"/>
      <w:r w:rsidRPr="00232AFB">
        <w:rPr>
          <w:rFonts w:ascii="Arial" w:hAnsi="Arial" w:cs="Arial"/>
          <w:sz w:val="20"/>
          <w:szCs w:val="20"/>
        </w:rPr>
        <w:t xml:space="preserve">Transmission of SLSS has also minor complexity. Detection of </w:t>
      </w:r>
      <w:r w:rsidRPr="00232AFB">
        <w:rPr>
          <w:rFonts w:ascii="Arial" w:hAnsi="Arial" w:cs="Arial"/>
          <w:sz w:val="20"/>
          <w:szCs w:val="20"/>
          <w:lang w:val="en-US"/>
        </w:rPr>
        <w:t xml:space="preserve">the </w:t>
      </w:r>
      <w:r w:rsidRPr="00232AFB">
        <w:rPr>
          <w:rFonts w:ascii="Arial" w:hAnsi="Arial" w:cs="Arial"/>
          <w:sz w:val="20"/>
          <w:szCs w:val="20"/>
        </w:rPr>
        <w:t xml:space="preserve">SLSS in </w:t>
      </w:r>
      <w:r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bookmarkEnd w:id="50"/>
      <w:bookmarkEnd w:id="51"/>
      <w:bookmarkEnd w:id="52"/>
      <w:bookmarkEnd w:id="53"/>
      <w:bookmarkEnd w:id="54"/>
      <w:bookmarkEnd w:id="55"/>
      <w:bookmarkEnd w:id="56"/>
      <w:bookmarkEnd w:id="57"/>
    </w:p>
    <w:p w14:paraId="71674758" w14:textId="77777777" w:rsidR="000E365B" w:rsidRDefault="000E365B" w:rsidP="000E365B">
      <w:pPr>
        <w:pStyle w:val="Observation"/>
        <w:overflowPunct/>
        <w:autoSpaceDE/>
        <w:autoSpaceDN/>
        <w:adjustRightInd/>
        <w:spacing w:line="259" w:lineRule="auto"/>
        <w:textAlignment w:val="auto"/>
      </w:pPr>
      <w:bookmarkStart w:id="58" w:name="_Toc540797"/>
      <w:bookmarkStart w:id="59" w:name="_Toc543479"/>
      <w:bookmarkStart w:id="60" w:name="_Toc543724"/>
      <w:bookmarkStart w:id="61" w:name="_Toc867706"/>
      <w:bookmarkStart w:id="62" w:name="_Toc867764"/>
      <w:bookmarkStart w:id="63" w:name="_Toc868142"/>
      <w:bookmarkStart w:id="64" w:name="_Toc960937"/>
      <w:bookmarkStart w:id="65" w:name="_Toc961026"/>
      <w:bookmarkStart w:id="66" w:name="_Toc961054"/>
      <w:bookmarkStart w:id="67" w:name="_Toc961067"/>
      <w:bookmarkStart w:id="68" w:name="_Toc961229"/>
      <w:bookmarkStart w:id="69" w:name="_Toc961276"/>
      <w:bookmarkStart w:id="70" w:name="_Toc961282"/>
      <w:bookmarkStart w:id="71" w:name="_Toc961288"/>
      <w:bookmarkStart w:id="72" w:name="_Toc961303"/>
      <w:bookmarkStart w:id="73" w:name="_Toc961398"/>
      <w:bookmarkStart w:id="74" w:name="_Toc963245"/>
      <w:bookmarkStart w:id="75" w:name="_Toc1045355"/>
      <w:bookmarkStart w:id="76" w:name="_Toc1047200"/>
      <w:bookmarkStart w:id="77" w:name="_Toc1047644"/>
      <w:bookmarkStart w:id="78" w:name="_Toc1051581"/>
      <w:bookmarkStart w:id="79" w:name="_Toc1051628"/>
      <w:bookmarkStart w:id="80" w:name="_Toc1051675"/>
      <w:bookmarkStart w:id="81" w:name="_Toc1051783"/>
      <w:bookmarkStart w:id="82" w:name="_Toc1052730"/>
      <w:bookmarkStart w:id="83" w:name="_Toc1117679"/>
      <w:bookmarkStart w:id="84" w:name="_Toc1123569"/>
      <w:bookmarkStart w:id="85" w:name="_Toc1121296"/>
      <w:bookmarkStart w:id="86" w:name="_Toc5110864"/>
      <w:bookmarkStart w:id="87" w:name="_Toc7809476"/>
      <w:bookmarkStart w:id="88" w:name="_Toc21373297"/>
      <w:r w:rsidRPr="009F6173">
        <w:rPr>
          <w:lang w:val="en-US"/>
        </w:rPr>
        <w:t xml:space="preserve">Transmission and reception of PBSCH and transmission of SLSS do not increase UE complexity significantly. </w:t>
      </w:r>
      <w:r>
        <w:t>In contrast, detection of SLSS transmissions increases UE complexity.</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228E1D9"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89" w:name="_Toc1117716"/>
      <w:bookmarkStart w:id="90" w:name="_Toc1123575"/>
      <w:bookmarkStart w:id="91" w:name="_Toc1121302"/>
      <w:bookmarkStart w:id="92" w:name="_Toc5110855"/>
      <w:bookmarkStart w:id="93" w:name="_Toc7809494"/>
      <w:bookmarkStart w:id="94" w:name="_Toc21373311"/>
      <w:r w:rsidRPr="009F6173">
        <w:rPr>
          <w:rFonts w:eastAsia="DengXian" w:cs="Arial"/>
          <w:lang w:val="en-US"/>
        </w:rPr>
        <w:t>Transmission of SLSS/PSBCH is a mandatory UE capability.</w:t>
      </w:r>
      <w:bookmarkEnd w:id="89"/>
      <w:bookmarkEnd w:id="90"/>
      <w:bookmarkEnd w:id="91"/>
      <w:bookmarkEnd w:id="92"/>
      <w:bookmarkEnd w:id="93"/>
      <w:bookmarkEnd w:id="94"/>
    </w:p>
    <w:p w14:paraId="156D0472" w14:textId="7278F912" w:rsidR="000E365B" w:rsidRPr="009F6173" w:rsidRDefault="000E365B" w:rsidP="000E365B">
      <w:pPr>
        <w:jc w:val="both"/>
        <w:rPr>
          <w:bCs/>
          <w:lang w:val="en-US" w:eastAsia="zh-CN"/>
        </w:rPr>
      </w:pPr>
      <w:r w:rsidRPr="009F6173">
        <w:rPr>
          <w:bCs/>
          <w:lang w:val="en-US" w:eastAsia="zh-CN"/>
        </w:rPr>
        <w:t xml:space="preserve">However, it may be beneficial for a UE not to start the full SLSS search directly when it loses the synchronization from the (pre-)configured top </w:t>
      </w:r>
      <w:r w:rsidRPr="009F6173">
        <w:rPr>
          <w:rFonts w:cs="Arial"/>
          <w:lang w:val="en-US"/>
        </w:rPr>
        <w:t xml:space="preserve">synchronization </w:t>
      </w:r>
      <w:r w:rsidRPr="009F6173">
        <w:rPr>
          <w:bCs/>
          <w:lang w:val="en-US" w:eastAsia="zh-CN"/>
        </w:rPr>
        <w:t>source, especially when it is synchronized to GNSS (see, e.g.,</w:t>
      </w:r>
      <w:r>
        <w:rPr>
          <w:lang w:eastAsia="zh-CN"/>
        </w:rPr>
        <w:t xml:space="preserve"> [3]</w:t>
      </w:r>
      <w:r w:rsidRPr="009F6173">
        <w:rPr>
          <w:bCs/>
          <w:lang w:val="en-US" w:eastAsia="zh-CN"/>
        </w:rPr>
        <w:t>).</w:t>
      </w:r>
    </w:p>
    <w:p w14:paraId="12504F40"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95" w:name="_Toc1047655"/>
      <w:bookmarkStart w:id="96" w:name="_Toc1051597"/>
      <w:bookmarkStart w:id="97" w:name="_Toc1051644"/>
      <w:bookmarkStart w:id="98" w:name="_Toc1051686"/>
      <w:bookmarkStart w:id="99" w:name="_Toc1051795"/>
      <w:bookmarkStart w:id="100" w:name="_Toc1051832"/>
      <w:bookmarkStart w:id="101" w:name="_Toc1052298"/>
      <w:bookmarkStart w:id="102" w:name="_Toc1052747"/>
      <w:bookmarkStart w:id="103" w:name="_Toc1123577"/>
      <w:bookmarkStart w:id="104" w:name="_Toc1121304"/>
      <w:bookmarkStart w:id="105" w:name="_Toc5110856"/>
      <w:bookmarkStart w:id="106" w:name="_Toc7809495"/>
      <w:bookmarkStart w:id="107" w:name="_Toc1051598"/>
      <w:bookmarkStart w:id="108" w:name="_Toc1051645"/>
      <w:bookmarkStart w:id="109" w:name="_Toc1051687"/>
      <w:bookmarkStart w:id="110" w:name="_Toc1051796"/>
      <w:bookmarkStart w:id="111" w:name="_Toc1051833"/>
      <w:bookmarkStart w:id="112" w:name="_Toc1052299"/>
      <w:bookmarkStart w:id="113" w:name="_Toc1052748"/>
      <w:bookmarkStart w:id="114" w:name="_Toc1117718"/>
      <w:bookmarkStart w:id="115" w:name="_Toc21373312"/>
      <w:bookmarkEnd w:id="95"/>
      <w:bookmarkEnd w:id="96"/>
      <w:bookmarkEnd w:id="97"/>
      <w:bookmarkEnd w:id="98"/>
      <w:bookmarkEnd w:id="99"/>
      <w:bookmarkEnd w:id="100"/>
      <w:bookmarkEnd w:id="101"/>
      <w:bookmarkEnd w:id="102"/>
      <w:r w:rsidRPr="009F6173">
        <w:rPr>
          <w:rFonts w:eastAsia="DengXian" w:cs="Arial"/>
          <w:lang w:val="en-US"/>
        </w:rPr>
        <w:t>If GNSS is the configured top synchronization reference, the UE starts a restricted SLSS search after losing contact with the top synchronization reference.</w:t>
      </w:r>
      <w:bookmarkEnd w:id="103"/>
      <w:bookmarkEnd w:id="104"/>
      <w:bookmarkEnd w:id="105"/>
      <w:bookmarkEnd w:id="106"/>
      <w:bookmarkEnd w:id="115"/>
    </w:p>
    <w:p w14:paraId="2DFD08D1" w14:textId="59E289D7" w:rsidR="000E365B" w:rsidRPr="009F6173" w:rsidRDefault="000E365B" w:rsidP="000E365B">
      <w:pPr>
        <w:jc w:val="both"/>
        <w:rPr>
          <w:rFonts w:cs="Arial"/>
          <w:b/>
          <w:lang w:val="en-US"/>
        </w:rPr>
      </w:pPr>
      <w:bookmarkStart w:id="116" w:name="_Toc540757"/>
      <w:bookmarkStart w:id="117" w:name="_Toc540811"/>
      <w:bookmarkStart w:id="118" w:name="_Toc540857"/>
      <w:r w:rsidRPr="009F6173">
        <w:rPr>
          <w:rFonts w:cs="Arial"/>
          <w:lang w:val="en-US"/>
        </w:rPr>
        <w:t>The network is usually configured as top synchronization reference in licensed carriers in which V2X UEs share the resources with other UEs. Since network timing may be different across cells, it is undesirable that UEs perform restricted SLSS search in such carriers.</w:t>
      </w:r>
      <w:bookmarkEnd w:id="116"/>
      <w:bookmarkEnd w:id="117"/>
      <w:bookmarkEnd w:id="118"/>
    </w:p>
    <w:p w14:paraId="5F48071A"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119" w:name="_Toc1047210"/>
      <w:bookmarkStart w:id="120" w:name="_Toc1047653"/>
      <w:bookmarkStart w:id="121" w:name="_Toc1051595"/>
      <w:bookmarkStart w:id="122" w:name="_Toc1051642"/>
      <w:bookmarkStart w:id="123" w:name="_Toc1051684"/>
      <w:bookmarkStart w:id="124" w:name="_Toc1051793"/>
      <w:bookmarkStart w:id="125" w:name="_Toc1051830"/>
      <w:bookmarkStart w:id="126" w:name="_Toc1052296"/>
      <w:bookmarkStart w:id="127" w:name="_Toc1052745"/>
      <w:bookmarkStart w:id="128" w:name="_Toc1117719"/>
      <w:bookmarkStart w:id="129" w:name="_Toc1123578"/>
      <w:bookmarkStart w:id="130" w:name="_Toc1121305"/>
      <w:bookmarkStart w:id="131" w:name="_Toc5110857"/>
      <w:bookmarkStart w:id="132" w:name="_Toc7809496"/>
      <w:bookmarkStart w:id="133" w:name="_Toc21373313"/>
      <w:bookmarkEnd w:id="119"/>
      <w:bookmarkEnd w:id="120"/>
      <w:bookmarkEnd w:id="121"/>
      <w:bookmarkEnd w:id="122"/>
      <w:bookmarkEnd w:id="123"/>
      <w:bookmarkEnd w:id="124"/>
      <w:bookmarkEnd w:id="125"/>
      <w:bookmarkEnd w:id="126"/>
      <w:bookmarkEnd w:id="127"/>
      <w:r w:rsidRPr="009F6173">
        <w:rPr>
          <w:rFonts w:eastAsia="DengXian" w:cs="Arial"/>
          <w:lang w:val="en-US"/>
        </w:rPr>
        <w:t>If network is the configured top synchronization reference, the UE starts a full SLSS search after losing contact with the top synchronization reference.</w:t>
      </w:r>
      <w:bookmarkEnd w:id="128"/>
      <w:bookmarkEnd w:id="129"/>
      <w:bookmarkEnd w:id="130"/>
      <w:bookmarkEnd w:id="131"/>
      <w:bookmarkEnd w:id="132"/>
      <w:bookmarkEnd w:id="133"/>
    </w:p>
    <w:p w14:paraId="69454DBB" w14:textId="77777777" w:rsidR="000E365B" w:rsidRPr="009F6173" w:rsidRDefault="000E365B" w:rsidP="000E365B">
      <w:pPr>
        <w:pStyle w:val="Observation"/>
        <w:overflowPunct/>
        <w:autoSpaceDE/>
        <w:autoSpaceDN/>
        <w:adjustRightInd/>
        <w:spacing w:line="259" w:lineRule="auto"/>
        <w:textAlignment w:val="auto"/>
        <w:rPr>
          <w:lang w:val="en-US"/>
        </w:rPr>
      </w:pPr>
      <w:bookmarkStart w:id="134" w:name="_Toc1052302"/>
      <w:bookmarkStart w:id="135" w:name="_Toc1052751"/>
      <w:bookmarkStart w:id="136" w:name="_Toc540798"/>
      <w:bookmarkStart w:id="137" w:name="_Toc543480"/>
      <w:bookmarkStart w:id="138" w:name="_Toc543725"/>
      <w:bookmarkStart w:id="139" w:name="_Toc867707"/>
      <w:bookmarkStart w:id="140" w:name="_Toc867765"/>
      <w:bookmarkStart w:id="141" w:name="_Toc868143"/>
      <w:bookmarkStart w:id="142" w:name="_Toc960938"/>
      <w:bookmarkStart w:id="143" w:name="_Toc961027"/>
      <w:bookmarkStart w:id="144" w:name="_Toc961055"/>
      <w:bookmarkStart w:id="145" w:name="_Toc961068"/>
      <w:bookmarkStart w:id="146" w:name="_Toc961230"/>
      <w:bookmarkStart w:id="147" w:name="_Toc961277"/>
      <w:bookmarkStart w:id="148" w:name="_Toc961283"/>
      <w:bookmarkStart w:id="149" w:name="_Toc961289"/>
      <w:bookmarkStart w:id="150" w:name="_Toc961304"/>
      <w:bookmarkStart w:id="151" w:name="_Toc961399"/>
      <w:bookmarkStart w:id="152" w:name="_Toc963246"/>
      <w:bookmarkStart w:id="153" w:name="_Toc1045356"/>
      <w:bookmarkStart w:id="154" w:name="_Toc1047201"/>
      <w:bookmarkStart w:id="155" w:name="_Toc1047645"/>
      <w:bookmarkStart w:id="156" w:name="_Toc1051582"/>
      <w:bookmarkStart w:id="157" w:name="_Toc1051629"/>
      <w:bookmarkStart w:id="158" w:name="_Toc1051676"/>
      <w:bookmarkStart w:id="159" w:name="_Toc1051784"/>
      <w:bookmarkStart w:id="160" w:name="_Toc1052731"/>
      <w:bookmarkStart w:id="161" w:name="_Toc1117680"/>
      <w:bookmarkStart w:id="162" w:name="_Toc1123570"/>
      <w:bookmarkStart w:id="163" w:name="_Toc1121297"/>
      <w:bookmarkStart w:id="164" w:name="_Toc5110865"/>
      <w:bookmarkStart w:id="165" w:name="_Toc7809477"/>
      <w:bookmarkStart w:id="166" w:name="_Toc21373298"/>
      <w:bookmarkEnd w:id="134"/>
      <w:bookmarkEnd w:id="135"/>
      <w:r w:rsidRPr="009F6173">
        <w:rPr>
          <w:lang w:val="en-US"/>
        </w:rPr>
        <w:t>Support for full SLSS search may be optional.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2C3DE3F" w14:textId="77777777" w:rsidR="000E365B" w:rsidRPr="009F6173" w:rsidRDefault="000E365B" w:rsidP="000E365B">
      <w:pPr>
        <w:jc w:val="both"/>
        <w:rPr>
          <w:lang w:val="en-US"/>
        </w:rPr>
      </w:pPr>
      <w:bookmarkStart w:id="167" w:name="_Toc540776"/>
      <w:bookmarkStart w:id="168" w:name="_Toc540830"/>
      <w:bookmarkStart w:id="169" w:name="_Toc540876"/>
      <w:bookmarkStart w:id="170" w:name="_Toc540924"/>
      <w:r w:rsidRPr="009F6173">
        <w:rPr>
          <w:bCs/>
          <w:lang w:val="en-US" w:eastAsia="zh-CN"/>
        </w:rPr>
        <w:t>So far, the discussion has been restricted to the case of loss of top synchronization reference. The advantages of partial SLSS search vanish for lower-priority synchronization references for several reasons:</w:t>
      </w:r>
      <w:bookmarkEnd w:id="167"/>
      <w:bookmarkEnd w:id="168"/>
      <w:bookmarkEnd w:id="169"/>
      <w:bookmarkEnd w:id="170"/>
    </w:p>
    <w:p w14:paraId="4F31CC29" w14:textId="77777777" w:rsidR="000E365B" w:rsidRPr="00232AFB" w:rsidRDefault="000E365B" w:rsidP="000E365B">
      <w:pPr>
        <w:pStyle w:val="ListParagraph"/>
        <w:numPr>
          <w:ilvl w:val="0"/>
          <w:numId w:val="28"/>
        </w:numPr>
        <w:overflowPunct/>
        <w:autoSpaceDE/>
        <w:autoSpaceDN/>
        <w:adjustRightInd/>
        <w:spacing w:after="240" w:line="259" w:lineRule="auto"/>
        <w:jc w:val="both"/>
        <w:textAlignment w:val="auto"/>
        <w:rPr>
          <w:b/>
        </w:rPr>
      </w:pPr>
      <w:bookmarkStart w:id="171" w:name="_Toc540777"/>
      <w:bookmarkStart w:id="172" w:name="_Toc540831"/>
      <w:bookmarkStart w:id="173" w:name="_Toc540877"/>
      <w:bookmarkStart w:id="174" w:name="_Toc540925"/>
      <w:r w:rsidRPr="00232AFB">
        <w:rPr>
          <w:rFonts w:ascii="Arial" w:hAnsi="Arial"/>
          <w:bCs/>
          <w:sz w:val="20"/>
          <w:lang w:eastAsia="zh-CN"/>
        </w:rPr>
        <w:t xml:space="preserve">Lower priority synchronization references are carried by SLSS, meaning that a UE synchronized to </w:t>
      </w:r>
      <w:r w:rsidRPr="00232AFB">
        <w:rPr>
          <w:rFonts w:ascii="Arial" w:hAnsi="Arial"/>
          <w:bCs/>
          <w:sz w:val="20"/>
          <w:lang w:val="en-US" w:eastAsia="zh-CN"/>
        </w:rPr>
        <w:t>low</w:t>
      </w:r>
      <w:r>
        <w:rPr>
          <w:rFonts w:ascii="Arial" w:hAnsi="Arial"/>
          <w:bCs/>
          <w:sz w:val="20"/>
          <w:lang w:val="en-US" w:eastAsia="zh-CN"/>
        </w:rPr>
        <w:t>er priority synchronization references</w:t>
      </w:r>
      <w:r w:rsidRPr="00232AFB">
        <w:rPr>
          <w:rFonts w:ascii="Arial" w:hAnsi="Arial"/>
          <w:bCs/>
          <w:sz w:val="20"/>
          <w:lang w:eastAsia="zh-CN"/>
        </w:rPr>
        <w:t xml:space="preserve"> must be capable of performing SLSS searches.</w:t>
      </w:r>
      <w:bookmarkEnd w:id="171"/>
      <w:bookmarkEnd w:id="172"/>
      <w:bookmarkEnd w:id="173"/>
      <w:bookmarkEnd w:id="174"/>
    </w:p>
    <w:p w14:paraId="4472205A" w14:textId="77777777" w:rsidR="000E365B" w:rsidRPr="00232AFB" w:rsidRDefault="000E365B" w:rsidP="000E365B">
      <w:pPr>
        <w:pStyle w:val="ListParagraph"/>
        <w:numPr>
          <w:ilvl w:val="0"/>
          <w:numId w:val="28"/>
        </w:numPr>
        <w:overflowPunct/>
        <w:autoSpaceDE/>
        <w:autoSpaceDN/>
        <w:adjustRightInd/>
        <w:spacing w:after="240" w:line="259" w:lineRule="auto"/>
        <w:jc w:val="both"/>
        <w:textAlignment w:val="auto"/>
        <w:rPr>
          <w:b/>
        </w:rPr>
      </w:pPr>
      <w:bookmarkStart w:id="175" w:name="_Toc540778"/>
      <w:bookmarkStart w:id="176" w:name="_Toc540832"/>
      <w:bookmarkStart w:id="177" w:name="_Toc540878"/>
      <w:bookmarkStart w:id="178" w:name="_Toc540926"/>
      <w:r w:rsidRPr="00232AFB">
        <w:rPr>
          <w:rFonts w:ascii="Arial" w:hAnsi="Arial"/>
          <w:bCs/>
          <w:sz w:val="20"/>
          <w:lang w:eastAsia="zh-CN"/>
        </w:rPr>
        <w:t xml:space="preserve">Lower priority synchronization references require that PSBCH </w:t>
      </w:r>
      <w:r>
        <w:rPr>
          <w:rFonts w:ascii="Arial" w:hAnsi="Arial"/>
          <w:bCs/>
          <w:sz w:val="20"/>
          <w:lang w:eastAsia="zh-CN"/>
        </w:rPr>
        <w:t>is</w:t>
      </w:r>
      <w:r w:rsidRPr="00232AFB">
        <w:rPr>
          <w:rFonts w:ascii="Arial" w:hAnsi="Arial"/>
          <w:bCs/>
          <w:sz w:val="20"/>
          <w:lang w:eastAsia="zh-CN"/>
        </w:rPr>
        <w:t xml:space="preserve"> decoded. If </w:t>
      </w:r>
      <w:r w:rsidRPr="00232AFB">
        <w:rPr>
          <w:rFonts w:ascii="Arial" w:hAnsi="Arial"/>
          <w:bCs/>
          <w:sz w:val="20"/>
          <w:lang w:val="en-US" w:eastAsia="zh-CN"/>
        </w:rPr>
        <w:t xml:space="preserve">the </w:t>
      </w:r>
      <w:r w:rsidRPr="00232AFB">
        <w:rPr>
          <w:rFonts w:ascii="Arial" w:hAnsi="Arial"/>
          <w:bCs/>
          <w:sz w:val="20"/>
          <w:lang w:eastAsia="zh-CN"/>
        </w:rPr>
        <w:t>connection to the synchronization reference is lost, it is highly likely that PSBCH (or any other transmission from the originating UE(s)) cannot be decoded either.</w:t>
      </w:r>
      <w:bookmarkEnd w:id="175"/>
      <w:bookmarkEnd w:id="176"/>
      <w:bookmarkEnd w:id="177"/>
      <w:bookmarkEnd w:id="178"/>
    </w:p>
    <w:p w14:paraId="69500644" w14:textId="77777777" w:rsidR="00D57675" w:rsidRPr="00D57675" w:rsidRDefault="000E365B" w:rsidP="00D57675">
      <w:pPr>
        <w:pStyle w:val="Proposal"/>
        <w:overflowPunct/>
        <w:autoSpaceDE/>
        <w:autoSpaceDN/>
        <w:adjustRightInd/>
        <w:spacing w:line="259" w:lineRule="auto"/>
        <w:textAlignment w:val="auto"/>
        <w:rPr>
          <w:rFonts w:eastAsia="DengXian" w:cs="Arial"/>
          <w:lang w:val="en-US"/>
        </w:rPr>
      </w:pPr>
      <w:bookmarkStart w:id="179" w:name="_Toc961443"/>
      <w:bookmarkStart w:id="180" w:name="_Toc1033997"/>
      <w:bookmarkStart w:id="181" w:name="_Toc1047222"/>
      <w:bookmarkStart w:id="182" w:name="_Toc1047665"/>
      <w:bookmarkStart w:id="183" w:name="_Toc1051612"/>
      <w:bookmarkStart w:id="184" w:name="_Toc1051659"/>
      <w:bookmarkStart w:id="185" w:name="_Toc1051701"/>
      <w:bookmarkStart w:id="186" w:name="_Toc1051810"/>
      <w:bookmarkStart w:id="187" w:name="_Toc1051847"/>
      <w:bookmarkStart w:id="188" w:name="_Toc1052314"/>
      <w:bookmarkStart w:id="189" w:name="_Toc1052763"/>
      <w:bookmarkStart w:id="190" w:name="_Toc540779"/>
      <w:bookmarkStart w:id="191" w:name="_Toc540833"/>
      <w:bookmarkStart w:id="192" w:name="_Toc540879"/>
      <w:bookmarkStart w:id="193" w:name="_Toc540927"/>
      <w:bookmarkStart w:id="194" w:name="_Toc541004"/>
      <w:bookmarkStart w:id="195" w:name="_Toc541090"/>
      <w:bookmarkStart w:id="196" w:name="_Toc541137"/>
      <w:bookmarkStart w:id="197" w:name="_Toc541194"/>
      <w:bookmarkStart w:id="198" w:name="_Toc542966"/>
      <w:bookmarkStart w:id="199" w:name="_Toc543499"/>
      <w:bookmarkStart w:id="200" w:name="_Toc543679"/>
      <w:bookmarkStart w:id="201" w:name="_Toc543709"/>
      <w:bookmarkStart w:id="202" w:name="_Toc1117720"/>
      <w:bookmarkStart w:id="203" w:name="_Toc1123579"/>
      <w:bookmarkStart w:id="204" w:name="_Toc1121306"/>
      <w:bookmarkStart w:id="205" w:name="_Toc5110858"/>
      <w:bookmarkStart w:id="206" w:name="_Toc7809497"/>
      <w:bookmarkStart w:id="207" w:name="_Toc21373314"/>
      <w:r w:rsidRPr="009F6173">
        <w:rPr>
          <w:rFonts w:eastAsia="DengXian" w:cs="Arial"/>
          <w:lang w:val="en-US"/>
        </w:rPr>
        <w:t>Partial SLSS searches are not allowed when the UE loses connection to a synchronization reference that is not the top synchronization reference.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57D8974" w14:textId="03B7A832" w:rsidR="006B0998" w:rsidRDefault="005806EE" w:rsidP="00B771CF">
      <w:pPr>
        <w:jc w:val="both"/>
        <w:rPr>
          <w:rFonts w:eastAsia="DengXian"/>
        </w:rPr>
      </w:pPr>
      <w:r w:rsidRPr="00B771CF">
        <w:rPr>
          <w:rFonts w:eastAsia="DengXian"/>
          <w:lang w:val="en-US" w:eastAsia="zh-CN"/>
        </w:rPr>
        <w:t>An</w:t>
      </w:r>
      <w:r w:rsidRPr="005806EE">
        <w:rPr>
          <w:rFonts w:eastAsia="DengXian"/>
        </w:rPr>
        <w:t>other important aspect</w:t>
      </w:r>
      <w:r>
        <w:rPr>
          <w:rFonts w:eastAsia="DengXian"/>
        </w:rPr>
        <w:t xml:space="preserve"> is</w:t>
      </w:r>
      <w:r w:rsidR="005E36BD">
        <w:rPr>
          <w:rFonts w:eastAsia="DengXian"/>
        </w:rPr>
        <w:t xml:space="preserve"> when to trigger the SLSS transmission from the UE.</w:t>
      </w:r>
      <w:r w:rsidR="00391F46">
        <w:rPr>
          <w:rFonts w:eastAsia="DengXian"/>
        </w:rPr>
        <w:t xml:space="preserve"> </w:t>
      </w:r>
      <w:r w:rsidR="006B0998" w:rsidRPr="006B0998">
        <w:rPr>
          <w:rFonts w:eastAsia="DengXian"/>
        </w:rPr>
        <w:t xml:space="preserve">In our view, the LTE </w:t>
      </w:r>
      <w:proofErr w:type="spellStart"/>
      <w:r w:rsidR="006B0998" w:rsidRPr="006B0998">
        <w:rPr>
          <w:rFonts w:eastAsia="DengXian"/>
        </w:rPr>
        <w:t>behavior</w:t>
      </w:r>
      <w:proofErr w:type="spellEnd"/>
      <w:r w:rsidR="006B0998" w:rsidRPr="006B0998">
        <w:rPr>
          <w:rFonts w:eastAsia="DengXian"/>
        </w:rPr>
        <w:t xml:space="preserve"> is reasonable, and we propose to maintain it for NR. </w:t>
      </w:r>
    </w:p>
    <w:p w14:paraId="31AF60EE" w14:textId="4E0FE25D" w:rsidR="00F550FE" w:rsidRPr="00F550FE" w:rsidRDefault="00F550FE" w:rsidP="006B0998">
      <w:pPr>
        <w:pStyle w:val="Proposal"/>
        <w:overflowPunct/>
        <w:autoSpaceDE/>
        <w:autoSpaceDN/>
        <w:adjustRightInd/>
        <w:spacing w:line="259" w:lineRule="auto"/>
        <w:textAlignment w:val="auto"/>
        <w:rPr>
          <w:rFonts w:eastAsia="DengXian" w:cs="Arial"/>
          <w:lang w:val="en-US"/>
        </w:rPr>
      </w:pPr>
      <w:bookmarkStart w:id="208" w:name="_Toc21373315"/>
      <w:r w:rsidRPr="00F550FE">
        <w:rPr>
          <w:rFonts w:eastAsia="DengXian" w:cs="Arial"/>
          <w:lang w:val="en-US"/>
        </w:rPr>
        <w:t>Reuse the same conditions as in LTE for the triggering of SLSS transmission</w:t>
      </w:r>
      <w:r w:rsidR="000A7A06">
        <w:rPr>
          <w:rFonts w:eastAsia="DengXian" w:cs="Arial"/>
        </w:rPr>
        <w:t xml:space="preserve"> in NR</w:t>
      </w:r>
      <w:r w:rsidRPr="00F550FE">
        <w:rPr>
          <w:rFonts w:eastAsia="DengXian" w:cs="Arial"/>
          <w:lang w:val="en-US"/>
        </w:rPr>
        <w:t>.</w:t>
      </w:r>
      <w:bookmarkEnd w:id="208"/>
    </w:p>
    <w:bookmarkEnd w:id="107"/>
    <w:bookmarkEnd w:id="108"/>
    <w:bookmarkEnd w:id="109"/>
    <w:bookmarkEnd w:id="110"/>
    <w:bookmarkEnd w:id="111"/>
    <w:bookmarkEnd w:id="112"/>
    <w:bookmarkEnd w:id="113"/>
    <w:bookmarkEnd w:id="114"/>
    <w:p w14:paraId="3E0D5C49" w14:textId="49831E3F" w:rsidR="000E365B" w:rsidRPr="00B771CF" w:rsidRDefault="00974EEB" w:rsidP="000E365B">
      <w:pPr>
        <w:pStyle w:val="Heading2"/>
      </w:pPr>
      <w:r>
        <w:t>6</w:t>
      </w:r>
      <w:r w:rsidR="000E365B" w:rsidRPr="00734679">
        <w:t>.</w:t>
      </w:r>
      <w:r w:rsidR="000E365B">
        <w:t>1</w:t>
      </w:r>
      <w:r w:rsidR="000E365B" w:rsidRPr="00734679">
        <w:tab/>
      </w:r>
      <w:r w:rsidR="000E365B" w:rsidRPr="00B771CF">
        <w:t xml:space="preserve">UE </w:t>
      </w:r>
      <w:proofErr w:type="spellStart"/>
      <w:r w:rsidR="000E365B" w:rsidRPr="00B771CF">
        <w:t>behavior</w:t>
      </w:r>
      <w:proofErr w:type="spellEnd"/>
    </w:p>
    <w:p w14:paraId="219A207B" w14:textId="77777777" w:rsidR="000E365B" w:rsidRPr="00B771CF" w:rsidRDefault="000E365B" w:rsidP="000E365B">
      <w:pPr>
        <w:jc w:val="both"/>
        <w:rPr>
          <w:rFonts w:cs="Arial"/>
          <w:lang w:val="en-US"/>
        </w:rPr>
      </w:pPr>
      <w:r w:rsidRPr="00B771CF">
        <w:rPr>
          <w:rFonts w:cs="Arial"/>
          <w:lang w:val="en-US"/>
        </w:rPr>
        <w:t>In this section, we describe the behavior of a UE transmitting and/or receiving S-SSB.</w:t>
      </w:r>
    </w:p>
    <w:p w14:paraId="30DCDEDC" w14:textId="77777777" w:rsidR="000E365B" w:rsidRPr="00B771CF" w:rsidRDefault="000E365B" w:rsidP="000E365B">
      <w:pPr>
        <w:jc w:val="both"/>
        <w:rPr>
          <w:rFonts w:cs="Arial"/>
          <w:lang w:val="en-US"/>
        </w:rPr>
      </w:pPr>
      <w:r w:rsidRPr="00B771CF">
        <w:rPr>
          <w:rFonts w:cs="Arial"/>
          <w:lang w:val="en-US"/>
        </w:rPr>
        <w:t>For transmission and, more specifically, for selecting the values of the fields transmitted in PSBCH, the following is specified in LTE:</w:t>
      </w:r>
    </w:p>
    <w:p w14:paraId="245E5F09" w14:textId="77777777" w:rsidR="000E365B" w:rsidRPr="00B771CF" w:rsidRDefault="000E365B" w:rsidP="000E365B">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US"/>
        </w:rPr>
      </w:pPr>
      <w:r w:rsidRPr="00B771CF">
        <w:rPr>
          <w:rFonts w:ascii="Arial" w:hAnsi="Arial" w:cs="Arial"/>
          <w:sz w:val="20"/>
          <w:szCs w:val="20"/>
          <w:lang w:val="en-US"/>
        </w:rPr>
        <w:lastRenderedPageBreak/>
        <w:t>For UEs in coverage, PSBCH contents is provided by the network.</w:t>
      </w:r>
    </w:p>
    <w:p w14:paraId="5370B030" w14:textId="77777777" w:rsidR="000E365B" w:rsidRPr="00B771CF" w:rsidRDefault="000E365B" w:rsidP="000E365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B771CF">
        <w:rPr>
          <w:rFonts w:ascii="Arial" w:hAnsi="Arial" w:cs="Arial"/>
          <w:sz w:val="20"/>
          <w:szCs w:val="20"/>
          <w:lang w:val="en-US"/>
        </w:rPr>
        <w:t>For UEs out of coverage using GNSS as synchronization reference, PSBCH contents is provided by the pre-configuration.</w:t>
      </w:r>
    </w:p>
    <w:p w14:paraId="25240C10" w14:textId="77777777" w:rsidR="000E365B" w:rsidRPr="00B771CF" w:rsidRDefault="000E365B" w:rsidP="000E365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B771CF">
        <w:rPr>
          <w:rFonts w:ascii="Arial" w:hAnsi="Arial" w:cs="Arial"/>
          <w:sz w:val="20"/>
          <w:szCs w:val="20"/>
          <w:lang w:val="en-US"/>
        </w:rPr>
        <w:t>For UEs out of coverage using SLSS (i.e., another UE) as synchronization reference, PSBCH contents is provided by the synchronization reference (i.e., in received PSBCH).</w:t>
      </w:r>
    </w:p>
    <w:p w14:paraId="72EF877E" w14:textId="77777777" w:rsidR="000E365B" w:rsidRPr="00B771CF" w:rsidRDefault="000E365B" w:rsidP="000E365B">
      <w:pPr>
        <w:pStyle w:val="ListParagraph"/>
        <w:numPr>
          <w:ilvl w:val="0"/>
          <w:numId w:val="30"/>
        </w:numPr>
        <w:overflowPunct/>
        <w:autoSpaceDE/>
        <w:autoSpaceDN/>
        <w:adjustRightInd/>
        <w:spacing w:before="240" w:after="240" w:line="259" w:lineRule="auto"/>
        <w:jc w:val="both"/>
        <w:textAlignment w:val="auto"/>
        <w:rPr>
          <w:rFonts w:cs="Arial"/>
          <w:lang w:val="en-US"/>
        </w:rPr>
      </w:pPr>
      <w:r w:rsidRPr="00B771CF">
        <w:rPr>
          <w:rFonts w:ascii="Arial" w:hAnsi="Arial" w:cs="Arial"/>
          <w:sz w:val="20"/>
          <w:szCs w:val="20"/>
          <w:lang w:val="en-US"/>
        </w:rPr>
        <w:t>For other UES out of coverage (i.e., using internal clock as synchronization reference), PSBCH contents is provided by the pre-configuration.</w:t>
      </w:r>
    </w:p>
    <w:p w14:paraId="6A2DEA20" w14:textId="26B1BB4A" w:rsidR="000E365B" w:rsidRPr="00B771CF" w:rsidRDefault="000E365B" w:rsidP="000E365B">
      <w:pPr>
        <w:jc w:val="both"/>
        <w:rPr>
          <w:rFonts w:cs="Arial"/>
          <w:lang w:val="en-US"/>
        </w:rPr>
      </w:pPr>
      <w:r w:rsidRPr="00B771CF">
        <w:rPr>
          <w:rFonts w:cs="Arial"/>
          <w:lang w:val="en-US"/>
        </w:rPr>
        <w:t xml:space="preserve">From a receiver point of view, the following behavior is specified for LTE in Section 5.10.9.1 in </w:t>
      </w:r>
      <w:r w:rsidRPr="00B771CF">
        <w:rPr>
          <w:rFonts w:cs="Arial"/>
          <w:lang w:val="en-US"/>
        </w:rPr>
        <w:fldChar w:fldCharType="begin"/>
      </w:r>
      <w:r w:rsidRPr="00B771CF">
        <w:rPr>
          <w:rFonts w:cs="Arial"/>
          <w:lang w:val="en-US"/>
        </w:rPr>
        <w:instrText xml:space="preserve"> REF _Ref3885301 \r \h  \* MERGEFORMAT </w:instrText>
      </w:r>
      <w:r w:rsidRPr="00B771CF">
        <w:rPr>
          <w:rFonts w:cs="Arial"/>
          <w:lang w:val="en-US"/>
        </w:rPr>
      </w:r>
      <w:r w:rsidRPr="00B771CF">
        <w:rPr>
          <w:rFonts w:cs="Arial"/>
          <w:lang w:val="en-US"/>
        </w:rPr>
        <w:fldChar w:fldCharType="separate"/>
      </w:r>
      <w:r w:rsidR="00677FA3">
        <w:rPr>
          <w:rFonts w:cs="Arial"/>
          <w:lang w:val="en-US"/>
        </w:rPr>
        <w:t>[</w:t>
      </w:r>
      <w:r w:rsidR="00677FA3" w:rsidRPr="00677FA3">
        <w:rPr>
          <w:rFonts w:cs="Arial"/>
        </w:rPr>
        <w:t>1</w:t>
      </w:r>
      <w:r w:rsidR="00677FA3">
        <w:rPr>
          <w:rFonts w:cs="Arial"/>
          <w:lang w:val="en-US"/>
        </w:rPr>
        <w:t>]</w:t>
      </w:r>
      <w:r w:rsidRPr="00B771CF">
        <w:rPr>
          <w:rFonts w:cs="Arial"/>
          <w:lang w:val="en-US"/>
        </w:rPr>
        <w:fldChar w:fldCharType="end"/>
      </w:r>
      <w:r w:rsidRPr="00B771CF">
        <w:rPr>
          <w:rFonts w:cs="Arial"/>
          <w:lang w:val="en-US"/>
        </w:rPr>
        <w:t>:</w:t>
      </w:r>
    </w:p>
    <w:tbl>
      <w:tblPr>
        <w:tblStyle w:val="TableGrid"/>
        <w:tblW w:w="0" w:type="auto"/>
        <w:tblLook w:val="04A0" w:firstRow="1" w:lastRow="0" w:firstColumn="1" w:lastColumn="0" w:noHBand="0" w:noVBand="1"/>
      </w:tblPr>
      <w:tblGrid>
        <w:gridCol w:w="9629"/>
      </w:tblGrid>
      <w:tr w:rsidR="000E365B" w:rsidRPr="00A8163F" w14:paraId="5DD7B50E" w14:textId="77777777" w:rsidTr="0054441E">
        <w:tc>
          <w:tcPr>
            <w:tcW w:w="9629" w:type="dxa"/>
          </w:tcPr>
          <w:p w14:paraId="7E7BC97A" w14:textId="77777777" w:rsidR="000E365B" w:rsidRPr="00B771CF" w:rsidRDefault="000E365B" w:rsidP="0054441E">
            <w:pPr>
              <w:pStyle w:val="B2"/>
              <w:spacing w:before="240"/>
              <w:ind w:left="0" w:firstLine="0"/>
              <w:rPr>
                <w:lang w:val="en-GB" w:eastAsia="zh-CN"/>
              </w:rPr>
            </w:pPr>
            <w:r w:rsidRPr="00B771CF">
              <w:t xml:space="preserve">A UE configured to receive or transmit </w:t>
            </w:r>
            <w:r w:rsidRPr="00B771CF">
              <w:rPr>
                <w:lang w:eastAsia="zh-CN"/>
              </w:rPr>
              <w:t xml:space="preserve">V2X </w:t>
            </w:r>
            <w:r w:rsidRPr="00B771CF">
              <w:t>sidelink communication</w:t>
            </w:r>
            <w:r w:rsidRPr="00B771CF">
              <w:rPr>
                <w:lang w:eastAsia="zh-CN"/>
              </w:rPr>
              <w:t xml:space="preserve"> shall:</w:t>
            </w:r>
          </w:p>
          <w:p w14:paraId="6DED5730" w14:textId="77777777" w:rsidR="000E365B" w:rsidRPr="00B771CF" w:rsidRDefault="000E365B" w:rsidP="0054441E">
            <w:pPr>
              <w:pStyle w:val="B1"/>
              <w:rPr>
                <w:lang w:val="en-GB"/>
              </w:rPr>
            </w:pPr>
            <w:r w:rsidRPr="00B771CF">
              <w:t>1&gt;</w:t>
            </w:r>
            <w:r w:rsidRPr="00B771CF">
              <w:tab/>
              <w:t>if the UE has a selected SyncRef UE, as specified in 5.10.8.2:</w:t>
            </w:r>
          </w:p>
          <w:p w14:paraId="4536AEAB" w14:textId="77777777" w:rsidR="000E365B" w:rsidRPr="00B771CF" w:rsidRDefault="000E365B" w:rsidP="0054441E">
            <w:pPr>
              <w:pStyle w:val="B2"/>
              <w:rPr>
                <w:lang w:val="en-GB" w:eastAsia="zh-CN"/>
              </w:rPr>
            </w:pPr>
            <w:r w:rsidRPr="00B771CF">
              <w:t>2&gt;</w:t>
            </w:r>
            <w:r w:rsidRPr="00B771CF">
              <w:tab/>
              <w:t xml:space="preserve">ensure having a valid version of the </w:t>
            </w:r>
            <w:r w:rsidRPr="00B771CF">
              <w:rPr>
                <w:i/>
              </w:rPr>
              <w:t>MasterInformationBlock-SL</w:t>
            </w:r>
            <w:r w:rsidRPr="00B771CF">
              <w:rPr>
                <w:i/>
                <w:lang w:eastAsia="zh-CN"/>
              </w:rPr>
              <w:t>-V2X</w:t>
            </w:r>
            <w:r w:rsidRPr="00B771CF">
              <w:t xml:space="preserve"> message of that SyncRefUE</w:t>
            </w:r>
            <w:r w:rsidRPr="00B771CF">
              <w:rPr>
                <w:lang w:eastAsia="zh-CN"/>
              </w:rPr>
              <w:t>;</w:t>
            </w:r>
          </w:p>
        </w:tc>
      </w:tr>
    </w:tbl>
    <w:p w14:paraId="3749B93F" w14:textId="21BB60F4" w:rsidR="000E365B" w:rsidRPr="00B771CF" w:rsidRDefault="000E365B" w:rsidP="000E365B">
      <w:pPr>
        <w:spacing w:before="240"/>
        <w:jc w:val="both"/>
        <w:rPr>
          <w:rFonts w:cs="Arial"/>
          <w:lang w:val="en-US"/>
        </w:rPr>
      </w:pPr>
      <w:r w:rsidRPr="00B771CF">
        <w:rPr>
          <w:rFonts w:cs="Arial"/>
          <w:lang w:val="en-US"/>
        </w:rPr>
        <w:t xml:space="preserve">And in Section 5.10.9.2 in </w:t>
      </w:r>
      <w:r w:rsidRPr="00B771CF">
        <w:rPr>
          <w:rFonts w:cs="Arial"/>
          <w:lang w:val="en-US"/>
        </w:rPr>
        <w:fldChar w:fldCharType="begin"/>
      </w:r>
      <w:r w:rsidRPr="00B771CF">
        <w:rPr>
          <w:rFonts w:cs="Arial"/>
          <w:lang w:val="en-US"/>
        </w:rPr>
        <w:instrText xml:space="preserve"> REF _Ref3885301 \r \h  \* MERGEFORMAT </w:instrText>
      </w:r>
      <w:r w:rsidRPr="00B771CF">
        <w:rPr>
          <w:rFonts w:cs="Arial"/>
          <w:lang w:val="en-US"/>
        </w:rPr>
      </w:r>
      <w:r w:rsidRPr="00B771CF">
        <w:rPr>
          <w:rFonts w:cs="Arial"/>
          <w:lang w:val="en-US"/>
        </w:rPr>
        <w:fldChar w:fldCharType="separate"/>
      </w:r>
      <w:r w:rsidR="00677FA3">
        <w:rPr>
          <w:rFonts w:cs="Arial"/>
          <w:lang w:val="en-US"/>
        </w:rPr>
        <w:t>[</w:t>
      </w:r>
      <w:r w:rsidR="00677FA3" w:rsidRPr="00677FA3">
        <w:rPr>
          <w:rFonts w:cs="Arial"/>
        </w:rPr>
        <w:t>1</w:t>
      </w:r>
      <w:r w:rsidR="00677FA3">
        <w:rPr>
          <w:rFonts w:cs="Arial"/>
          <w:lang w:val="en-US"/>
        </w:rPr>
        <w:t>]</w:t>
      </w:r>
      <w:r w:rsidRPr="00B771CF">
        <w:rPr>
          <w:rFonts w:cs="Arial"/>
          <w:lang w:val="en-US"/>
        </w:rPr>
        <w:fldChar w:fldCharType="end"/>
      </w:r>
      <w:r w:rsidRPr="00B771CF">
        <w:rPr>
          <w:rFonts w:cs="Arial"/>
          <w:lang w:val="en-US"/>
        </w:rPr>
        <w:t>:</w:t>
      </w:r>
    </w:p>
    <w:tbl>
      <w:tblPr>
        <w:tblStyle w:val="TableGrid"/>
        <w:tblW w:w="0" w:type="auto"/>
        <w:tblLook w:val="04A0" w:firstRow="1" w:lastRow="0" w:firstColumn="1" w:lastColumn="0" w:noHBand="0" w:noVBand="1"/>
      </w:tblPr>
      <w:tblGrid>
        <w:gridCol w:w="9629"/>
      </w:tblGrid>
      <w:tr w:rsidR="000E365B" w:rsidRPr="00A8163F" w14:paraId="51B025A0" w14:textId="77777777" w:rsidTr="0054441E">
        <w:tc>
          <w:tcPr>
            <w:tcW w:w="9629" w:type="dxa"/>
          </w:tcPr>
          <w:p w14:paraId="22547397" w14:textId="77777777" w:rsidR="000E365B" w:rsidRPr="00B771CF" w:rsidRDefault="000E365B" w:rsidP="0054441E">
            <w:pPr>
              <w:spacing w:before="240"/>
              <w:jc w:val="both"/>
              <w:rPr>
                <w:lang w:val="en-US"/>
              </w:rPr>
            </w:pPr>
            <w:r w:rsidRPr="00B771CF">
              <w:rPr>
                <w:lang w:val="en-US"/>
              </w:rPr>
              <w:t xml:space="preserve">Upon receiving </w:t>
            </w:r>
            <w:proofErr w:type="spellStart"/>
            <w:r w:rsidRPr="00B771CF">
              <w:rPr>
                <w:i/>
                <w:lang w:val="en-US"/>
              </w:rPr>
              <w:t>MasterInformationBlock</w:t>
            </w:r>
            <w:proofErr w:type="spellEnd"/>
            <w:r w:rsidRPr="00B771CF">
              <w:rPr>
                <w:i/>
                <w:lang w:val="en-US"/>
              </w:rPr>
              <w:t>-SL or MasterInformationBlock-SL-V2X</w:t>
            </w:r>
            <w:r w:rsidRPr="00B771CF">
              <w:rPr>
                <w:lang w:val="en-US"/>
              </w:rPr>
              <w:t>, the UE shall:</w:t>
            </w:r>
          </w:p>
          <w:p w14:paraId="1CE32932" w14:textId="77777777" w:rsidR="000E365B" w:rsidRPr="00B771CF" w:rsidRDefault="000E365B" w:rsidP="0054441E">
            <w:pPr>
              <w:pStyle w:val="B1"/>
              <w:rPr>
                <w:rFonts w:ascii="Arial" w:hAnsi="Arial" w:cs="Arial"/>
                <w:lang w:val="en-US"/>
              </w:rPr>
            </w:pPr>
            <w:r w:rsidRPr="00B771CF">
              <w:t>1&gt;</w:t>
            </w:r>
            <w:r w:rsidRPr="00B771CF">
              <w:tab/>
              <w:t xml:space="preserve">apply the values of </w:t>
            </w:r>
            <w:r w:rsidRPr="00B771CF">
              <w:rPr>
                <w:i/>
              </w:rPr>
              <w:t>sl-Bandwidth</w:t>
            </w:r>
            <w:r w:rsidRPr="00B771CF">
              <w:t xml:space="preserve">, </w:t>
            </w:r>
            <w:r w:rsidRPr="00B771CF">
              <w:rPr>
                <w:i/>
              </w:rPr>
              <w:t>subframeAssignmentSL</w:t>
            </w:r>
            <w:r w:rsidRPr="00B771CF">
              <w:t xml:space="preserve">, </w:t>
            </w:r>
            <w:r w:rsidRPr="00B771CF">
              <w:rPr>
                <w:i/>
              </w:rPr>
              <w:t>directFrameNumber</w:t>
            </w:r>
            <w:r w:rsidRPr="00B771CF">
              <w:t xml:space="preserve"> and </w:t>
            </w:r>
            <w:r w:rsidRPr="00B771CF">
              <w:rPr>
                <w:i/>
              </w:rPr>
              <w:t>directSubframeNumber</w:t>
            </w:r>
            <w:r w:rsidRPr="00B771CF">
              <w:t xml:space="preserve"> included in the received </w:t>
            </w:r>
            <w:r w:rsidRPr="00B771CF">
              <w:rPr>
                <w:i/>
              </w:rPr>
              <w:t>MasterInformationBlock-SL</w:t>
            </w:r>
            <w:r w:rsidRPr="00B771CF">
              <w:t xml:space="preserve"> or </w:t>
            </w:r>
            <w:r w:rsidRPr="00B771CF">
              <w:rPr>
                <w:i/>
              </w:rPr>
              <w:t>MasterInformationBlock-SL-V2X</w:t>
            </w:r>
            <w:r w:rsidRPr="00B771CF">
              <w:t xml:space="preserve"> message;</w:t>
            </w:r>
          </w:p>
        </w:tc>
      </w:tr>
    </w:tbl>
    <w:p w14:paraId="6DA04962" w14:textId="77777777" w:rsidR="000E365B" w:rsidRPr="00B771CF" w:rsidRDefault="000E365B" w:rsidP="000E365B">
      <w:pPr>
        <w:spacing w:before="240"/>
        <w:jc w:val="both"/>
        <w:rPr>
          <w:rFonts w:cs="Arial"/>
          <w:lang w:val="en-US"/>
        </w:rPr>
      </w:pPr>
      <w:r w:rsidRPr="00B771CF">
        <w:rPr>
          <w:rFonts w:cs="Arial"/>
          <w:lang w:val="en-US"/>
        </w:rPr>
        <w:t xml:space="preserve">In other words, the receiver UE is expected to acquire and apply the contents of PSBCH from the corresponding synchronization reference UE (or UEs if an SFN combination is received). </w:t>
      </w:r>
    </w:p>
    <w:p w14:paraId="392C21C6" w14:textId="77777777" w:rsidR="000E365B" w:rsidRPr="00B771CF" w:rsidRDefault="000E365B" w:rsidP="000E365B">
      <w:pPr>
        <w:jc w:val="both"/>
        <w:rPr>
          <w:rFonts w:cs="Arial"/>
          <w:lang w:val="en-US"/>
        </w:rPr>
      </w:pPr>
      <w:r w:rsidRPr="00B771CF">
        <w:rPr>
          <w:rFonts w:cs="Arial"/>
          <w:lang w:val="en-US"/>
        </w:rPr>
        <w:t>In our view, the LTE behavior is reasonable, and we propose to maintain it for NR. Using network configuration (for in coverage UEs) and pre-configuration (for out of coverage UEs) as default behavior. For UEs using SLSS as synchronization reference, we propose to follow the same behavior as in LTE.</w:t>
      </w:r>
    </w:p>
    <w:p w14:paraId="6D18756E" w14:textId="77777777" w:rsidR="000E365B" w:rsidRPr="00B771CF" w:rsidRDefault="000E365B" w:rsidP="000E365B">
      <w:pPr>
        <w:pStyle w:val="Proposal"/>
        <w:overflowPunct/>
        <w:autoSpaceDE/>
        <w:autoSpaceDN/>
        <w:adjustRightInd/>
        <w:spacing w:line="259" w:lineRule="auto"/>
        <w:textAlignment w:val="auto"/>
        <w:rPr>
          <w:rFonts w:eastAsia="DengXian" w:cs="Arial"/>
          <w:lang w:val="en-US"/>
        </w:rPr>
      </w:pPr>
      <w:bookmarkStart w:id="209" w:name="_Toc5110859"/>
      <w:bookmarkStart w:id="210" w:name="_Toc7809498"/>
      <w:bookmarkStart w:id="211" w:name="_Toc21373316"/>
      <w:r w:rsidRPr="00B771CF">
        <w:rPr>
          <w:rFonts w:eastAsia="DengXian" w:cs="Arial"/>
          <w:lang w:val="en-US"/>
        </w:rPr>
        <w:t>A UE using SLSS as synchronization reference configures the corresponding parameters with the values provided in PSBCH by the synchronization reference.</w:t>
      </w:r>
      <w:bookmarkEnd w:id="209"/>
      <w:bookmarkEnd w:id="210"/>
      <w:bookmarkEnd w:id="211"/>
    </w:p>
    <w:p w14:paraId="196259C0" w14:textId="44F6EA77" w:rsidR="000E365B" w:rsidRPr="00B771CF" w:rsidRDefault="000E365B" w:rsidP="00937B98">
      <w:pPr>
        <w:pStyle w:val="Proposal"/>
        <w:overflowPunct/>
        <w:autoSpaceDE/>
        <w:autoSpaceDN/>
        <w:adjustRightInd/>
        <w:spacing w:line="259" w:lineRule="auto"/>
        <w:textAlignment w:val="auto"/>
        <w:rPr>
          <w:rFonts w:eastAsia="DengXian" w:cs="Arial"/>
          <w:lang w:val="en-US"/>
        </w:rPr>
      </w:pPr>
      <w:bookmarkStart w:id="212" w:name="_Toc4754614"/>
      <w:bookmarkStart w:id="213" w:name="_Toc5009223"/>
      <w:bookmarkStart w:id="214" w:name="_Toc5009579"/>
      <w:bookmarkStart w:id="215" w:name="_Toc5110860"/>
      <w:bookmarkStart w:id="216" w:name="_Toc7809499"/>
      <w:bookmarkStart w:id="217" w:name="_Toc21373317"/>
      <w:bookmarkEnd w:id="212"/>
      <w:bookmarkEnd w:id="213"/>
      <w:bookmarkEnd w:id="214"/>
      <w:r w:rsidRPr="00B771CF">
        <w:rPr>
          <w:rFonts w:eastAsia="DengXian" w:cs="Arial"/>
          <w:lang w:val="en-US"/>
        </w:rPr>
        <w:t>For the fields carried by PSBCH, the UE uses the values in its current configuration.</w:t>
      </w:r>
      <w:bookmarkEnd w:id="215"/>
      <w:bookmarkEnd w:id="216"/>
      <w:bookmarkEnd w:id="217"/>
    </w:p>
    <w:p w14:paraId="6D19D5B7" w14:textId="271FAF36" w:rsidR="000E365B" w:rsidRPr="00CE0424" w:rsidRDefault="00974EEB" w:rsidP="000E365B">
      <w:pPr>
        <w:pStyle w:val="Heading1"/>
      </w:pPr>
      <w:r>
        <w:t>7</w:t>
      </w:r>
      <w:r w:rsidR="000E365B">
        <w:tab/>
      </w:r>
      <w:r w:rsidR="000E365B" w:rsidRPr="00CE0424">
        <w:t>Conclusion</w:t>
      </w:r>
    </w:p>
    <w:p w14:paraId="1328CBD0" w14:textId="77777777" w:rsidR="000E365B" w:rsidRDefault="000E365B" w:rsidP="000E365B">
      <w:pPr>
        <w:pStyle w:val="BodyText"/>
        <w:rPr>
          <w:b/>
          <w:bCs/>
        </w:rPr>
      </w:pPr>
      <w:r>
        <w:t>In the previous sections</w:t>
      </w:r>
      <w:r w:rsidRPr="00CE0424">
        <w:t xml:space="preserve"> we </w:t>
      </w:r>
      <w:r>
        <w:t>made the following observations</w:t>
      </w:r>
      <w:r w:rsidRPr="00CE0424">
        <w:t>:</w:t>
      </w:r>
      <w:r>
        <w:rPr>
          <w:b/>
          <w:bCs/>
        </w:rPr>
        <w:t xml:space="preserve"> </w:t>
      </w:r>
    </w:p>
    <w:p w14:paraId="7D512DD1" w14:textId="77777777" w:rsidR="00677FA3" w:rsidRDefault="000E365B">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1373296" w:history="1">
        <w:r w:rsidR="00677FA3" w:rsidRPr="001839CD">
          <w:rPr>
            <w:rStyle w:val="Hyperlink"/>
            <w:noProof/>
            <w:lang w:val="en-US"/>
          </w:rPr>
          <w:t>Observation 1</w:t>
        </w:r>
        <w:r w:rsidR="00677FA3">
          <w:rPr>
            <w:rFonts w:asciiTheme="minorHAnsi" w:eastAsiaTheme="minorEastAsia" w:hAnsiTheme="minorHAnsi" w:cstheme="minorBidi"/>
            <w:b w:val="0"/>
            <w:noProof/>
            <w:sz w:val="22"/>
            <w:szCs w:val="22"/>
            <w:lang w:val="fi-FI" w:eastAsia="fi-FI"/>
          </w:rPr>
          <w:tab/>
        </w:r>
        <w:r w:rsidR="00677FA3" w:rsidRPr="001839CD">
          <w:rPr>
            <w:rStyle w:val="Hyperlink"/>
            <w:noProof/>
            <w:lang w:val="en-US"/>
          </w:rPr>
          <w:t>The design of DMRS in PSBCH</w:t>
        </w:r>
        <w:r w:rsidR="00677FA3" w:rsidRPr="001839CD">
          <w:rPr>
            <w:rStyle w:val="Hyperlink"/>
            <w:noProof/>
          </w:rPr>
          <w:t xml:space="preserve"> </w:t>
        </w:r>
        <w:r w:rsidR="00677FA3" w:rsidRPr="001839CD">
          <w:rPr>
            <w:rStyle w:val="Hyperlink"/>
            <w:noProof/>
            <w:lang w:val="en-US"/>
          </w:rPr>
          <w:t>follow</w:t>
        </w:r>
        <w:r w:rsidR="00677FA3" w:rsidRPr="001839CD">
          <w:rPr>
            <w:rStyle w:val="Hyperlink"/>
            <w:noProof/>
          </w:rPr>
          <w:t>s</w:t>
        </w:r>
        <w:r w:rsidR="00677FA3" w:rsidRPr="001839CD">
          <w:rPr>
            <w:rStyle w:val="Hyperlink"/>
            <w:noProof/>
            <w:lang w:val="en-US"/>
          </w:rPr>
          <w:t xml:space="preserve"> the same design as the one defined in PSSCH.</w:t>
        </w:r>
      </w:hyperlink>
    </w:p>
    <w:p w14:paraId="2E57A5F6"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297" w:history="1">
        <w:r w:rsidRPr="001839CD">
          <w:rPr>
            <w:rStyle w:val="Hyperlink"/>
            <w:noProof/>
          </w:rPr>
          <w:t>Observation 2</w:t>
        </w:r>
        <w:r>
          <w:rPr>
            <w:rFonts w:asciiTheme="minorHAnsi" w:eastAsiaTheme="minorEastAsia" w:hAnsiTheme="minorHAnsi" w:cstheme="minorBidi"/>
            <w:b w:val="0"/>
            <w:noProof/>
            <w:sz w:val="22"/>
            <w:szCs w:val="22"/>
            <w:lang w:val="fi-FI" w:eastAsia="fi-FI"/>
          </w:rPr>
          <w:tab/>
        </w:r>
        <w:r w:rsidRPr="001839CD">
          <w:rPr>
            <w:rStyle w:val="Hyperlink"/>
            <w:noProof/>
            <w:lang w:val="en-US"/>
          </w:rPr>
          <w:t xml:space="preserve">Transmission and reception of PBSCH and transmission of SLSS do not increase UE complexity significantly. </w:t>
        </w:r>
        <w:r w:rsidRPr="001839CD">
          <w:rPr>
            <w:rStyle w:val="Hyperlink"/>
            <w:noProof/>
          </w:rPr>
          <w:t>In contrast, detection of SLSS transmissions increases UE complexity.</w:t>
        </w:r>
      </w:hyperlink>
    </w:p>
    <w:p w14:paraId="73868BBB"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298" w:history="1">
        <w:r w:rsidRPr="001839CD">
          <w:rPr>
            <w:rStyle w:val="Hyperlink"/>
            <w:noProof/>
            <w:lang w:val="en-US"/>
          </w:rPr>
          <w:t>Observation 3</w:t>
        </w:r>
        <w:r>
          <w:rPr>
            <w:rFonts w:asciiTheme="minorHAnsi" w:eastAsiaTheme="minorEastAsia" w:hAnsiTheme="minorHAnsi" w:cstheme="minorBidi"/>
            <w:b w:val="0"/>
            <w:noProof/>
            <w:sz w:val="22"/>
            <w:szCs w:val="22"/>
            <w:lang w:val="fi-FI" w:eastAsia="fi-FI"/>
          </w:rPr>
          <w:tab/>
        </w:r>
        <w:r w:rsidRPr="001839CD">
          <w:rPr>
            <w:rStyle w:val="Hyperlink"/>
            <w:noProof/>
            <w:lang w:val="en-US"/>
          </w:rPr>
          <w:t>Support for full SLSS search may be optional.</w:t>
        </w:r>
      </w:hyperlink>
    </w:p>
    <w:p w14:paraId="03E3AAFF" w14:textId="106B126D" w:rsidR="000E365B" w:rsidRDefault="000E365B" w:rsidP="000E365B">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2E902B6" w14:textId="77777777" w:rsidR="00677FA3" w:rsidRDefault="000E365B">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bookmarkStart w:id="218" w:name="_GoBack"/>
      <w:bookmarkEnd w:id="218"/>
      <w:r>
        <w:rPr>
          <w:b w:val="0"/>
          <w:bCs/>
          <w:lang w:val="en-US"/>
        </w:rPr>
        <w:fldChar w:fldCharType="separate"/>
      </w:r>
      <w:hyperlink w:anchor="_Toc21373299" w:history="1">
        <w:r w:rsidR="00677FA3" w:rsidRPr="00A53DDD">
          <w:rPr>
            <w:rStyle w:val="Hyperlink"/>
            <w:rFonts w:cs="Arial"/>
            <w:noProof/>
            <w:lang w:val="en-US"/>
          </w:rPr>
          <w:t>Proposal 1</w:t>
        </w:r>
        <w:r w:rsidR="00677FA3">
          <w:rPr>
            <w:rFonts w:asciiTheme="minorHAnsi" w:eastAsiaTheme="minorEastAsia" w:hAnsiTheme="minorHAnsi" w:cstheme="minorBidi"/>
            <w:b w:val="0"/>
            <w:noProof/>
            <w:sz w:val="22"/>
            <w:szCs w:val="22"/>
            <w:lang w:val="fi-FI" w:eastAsia="fi-FI"/>
          </w:rPr>
          <w:tab/>
        </w:r>
        <w:r w:rsidR="00677FA3" w:rsidRPr="00A53DDD">
          <w:rPr>
            <w:rStyle w:val="Hyperlink"/>
            <w:rFonts w:cs="Arial"/>
            <w:noProof/>
            <w:lang w:val="en-US"/>
          </w:rPr>
          <w:t xml:space="preserve">The set of SLSSIDs is divided into 3 groups (GNSS, in-coverage and out-of-coverage) following </w:t>
        </w:r>
        <w:r w:rsidR="00677FA3" w:rsidRPr="00A53DDD">
          <w:rPr>
            <w:rStyle w:val="Hyperlink"/>
            <w:rFonts w:cs="Arial"/>
            <w:noProof/>
          </w:rPr>
          <w:t xml:space="preserve">a similar </w:t>
        </w:r>
        <w:r w:rsidR="00677FA3" w:rsidRPr="00A53DDD">
          <w:rPr>
            <w:rStyle w:val="Hyperlink"/>
            <w:rFonts w:cs="Arial"/>
            <w:noProof/>
            <w:lang w:val="en-US"/>
          </w:rPr>
          <w:t>approach as in LTE-V2X</w:t>
        </w:r>
        <w:r w:rsidR="00677FA3" w:rsidRPr="00A53DDD">
          <w:rPr>
            <w:rStyle w:val="Hyperlink"/>
            <w:rFonts w:cs="Arial"/>
            <w:noProof/>
          </w:rPr>
          <w:t>:</w:t>
        </w:r>
      </w:hyperlink>
    </w:p>
    <w:p w14:paraId="6019BCA8" w14:textId="77777777" w:rsidR="00677FA3" w:rsidRDefault="00677FA3" w:rsidP="00C4563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300" w:history="1">
        <w:r w:rsidRPr="00A53DDD">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A53DDD">
          <w:rPr>
            <w:rStyle w:val="Hyperlink"/>
            <w:noProof/>
          </w:rPr>
          <w:t>SLSSID_gnss = {0, 336}</w:t>
        </w:r>
      </w:hyperlink>
    </w:p>
    <w:p w14:paraId="5667703E" w14:textId="77777777" w:rsidR="00677FA3" w:rsidRDefault="00677FA3" w:rsidP="00C4563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301" w:history="1">
        <w:r w:rsidRPr="00A53DDD">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A53DDD">
          <w:rPr>
            <w:rStyle w:val="Hyperlink"/>
            <w:noProof/>
          </w:rPr>
          <w:t>SLSSID_inc = {1, …, 335}</w:t>
        </w:r>
      </w:hyperlink>
    </w:p>
    <w:p w14:paraId="5949D3FD" w14:textId="77777777" w:rsidR="00677FA3" w:rsidRDefault="00677FA3" w:rsidP="00C4563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302" w:history="1">
        <w:r w:rsidRPr="00A53DDD">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A53DDD">
          <w:rPr>
            <w:rStyle w:val="Hyperlink"/>
            <w:noProof/>
          </w:rPr>
          <w:t>SLSSID_ooc = {337, …, 671}</w:t>
        </w:r>
      </w:hyperlink>
    </w:p>
    <w:p w14:paraId="0056661C"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3" w:history="1">
        <w:r w:rsidRPr="00A53DDD">
          <w:rPr>
            <w:rStyle w:val="Hyperlink"/>
            <w:noProof/>
          </w:rPr>
          <w:t>Proposal 2</w:t>
        </w:r>
        <w:r>
          <w:rPr>
            <w:rFonts w:asciiTheme="minorHAnsi" w:eastAsiaTheme="minorEastAsia" w:hAnsiTheme="minorHAnsi" w:cstheme="minorBidi"/>
            <w:b w:val="0"/>
            <w:noProof/>
            <w:sz w:val="22"/>
            <w:szCs w:val="22"/>
            <w:lang w:val="fi-FI" w:eastAsia="fi-FI"/>
          </w:rPr>
          <w:tab/>
        </w:r>
        <w:r w:rsidRPr="00A53DDD">
          <w:rPr>
            <w:rStyle w:val="Hyperlink"/>
            <w:rFonts w:cs="Arial"/>
            <w:noProof/>
            <w:lang w:val="en-US"/>
          </w:rPr>
          <w:t>The channel estimation for PSBCH is based on DMRS. A single pattern is defined for PSBCH DMRS.</w:t>
        </w:r>
      </w:hyperlink>
    </w:p>
    <w:p w14:paraId="0D97E172"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4" w:history="1">
        <w:r w:rsidRPr="00A53DDD">
          <w:rPr>
            <w:rStyle w:val="Hyperlink"/>
            <w:rFonts w:cs="Arial"/>
            <w:noProof/>
            <w:lang w:val="en-US"/>
          </w:rPr>
          <w:t>Proposal 3</w:t>
        </w:r>
        <w:r>
          <w:rPr>
            <w:rFonts w:asciiTheme="minorHAnsi" w:eastAsiaTheme="minorEastAsia" w:hAnsiTheme="minorHAnsi" w:cstheme="minorBidi"/>
            <w:b w:val="0"/>
            <w:noProof/>
            <w:sz w:val="22"/>
            <w:szCs w:val="22"/>
            <w:lang w:val="fi-FI" w:eastAsia="fi-FI"/>
          </w:rPr>
          <w:tab/>
        </w:r>
        <w:r w:rsidRPr="00A53DDD">
          <w:rPr>
            <w:rStyle w:val="Hyperlink"/>
            <w:rFonts w:cs="Arial"/>
            <w:noProof/>
            <w:lang w:val="en-US"/>
          </w:rPr>
          <w:t>The DMRS is multiplexed in frequency with PSBCH and mapped in a comb-like pattern for the first symbol of S-SSB.</w:t>
        </w:r>
      </w:hyperlink>
    </w:p>
    <w:p w14:paraId="16B07868"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5" w:history="1">
        <w:r w:rsidRPr="00A53DDD">
          <w:rPr>
            <w:rStyle w:val="Hyperlink"/>
            <w:rFonts w:cs="Arial"/>
            <w:noProof/>
            <w:lang w:val="en-US"/>
          </w:rPr>
          <w:t>Proposal 4</w:t>
        </w:r>
        <w:r>
          <w:rPr>
            <w:rFonts w:asciiTheme="minorHAnsi" w:eastAsiaTheme="minorEastAsia" w:hAnsiTheme="minorHAnsi" w:cstheme="minorBidi"/>
            <w:b w:val="0"/>
            <w:noProof/>
            <w:sz w:val="22"/>
            <w:szCs w:val="22"/>
            <w:lang w:val="fi-FI" w:eastAsia="fi-FI"/>
          </w:rPr>
          <w:tab/>
        </w:r>
        <w:r w:rsidRPr="00A53DDD">
          <w:rPr>
            <w:rStyle w:val="Hyperlink"/>
            <w:rFonts w:cs="Arial"/>
            <w:noProof/>
            <w:lang w:val="en-US"/>
          </w:rPr>
          <w:t>Include 4 DMRS symbols using comb-2 DMRS multiplexed in frequency for the contiguous PSBCH symbols in S-SSB.</w:t>
        </w:r>
      </w:hyperlink>
    </w:p>
    <w:p w14:paraId="0B07F326"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6" w:history="1">
        <w:r w:rsidRPr="00A53DDD">
          <w:rPr>
            <w:rStyle w:val="Hyperlink"/>
            <w:rFonts w:cs="Arial"/>
            <w:noProof/>
            <w:lang w:val="en-US"/>
          </w:rPr>
          <w:t>Proposal 5</w:t>
        </w:r>
        <w:r>
          <w:rPr>
            <w:rFonts w:asciiTheme="minorHAnsi" w:eastAsiaTheme="minorEastAsia" w:hAnsiTheme="minorHAnsi" w:cstheme="minorBidi"/>
            <w:b w:val="0"/>
            <w:noProof/>
            <w:sz w:val="22"/>
            <w:szCs w:val="22"/>
            <w:lang w:val="fi-FI" w:eastAsia="fi-FI"/>
          </w:rPr>
          <w:tab/>
        </w:r>
        <w:r w:rsidRPr="00A53DDD">
          <w:rPr>
            <w:rStyle w:val="Hyperlink"/>
            <w:rFonts w:cs="Arial"/>
            <w:noProof/>
          </w:rPr>
          <w:t>Use the values from SLSSID in order to generate the sequence for PSBCH DMRS.</w:t>
        </w:r>
      </w:hyperlink>
    </w:p>
    <w:p w14:paraId="4B07BBC6"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7" w:history="1">
        <w:r w:rsidRPr="00A53DDD">
          <w:rPr>
            <w:rStyle w:val="Hyperlink"/>
            <w:rFonts w:cs="Arial"/>
            <w:noProof/>
            <w:lang w:val="en-US"/>
          </w:rPr>
          <w:t>Proposal 6</w:t>
        </w:r>
        <w:r>
          <w:rPr>
            <w:rFonts w:asciiTheme="minorHAnsi" w:eastAsiaTheme="minorEastAsia" w:hAnsiTheme="minorHAnsi" w:cstheme="minorBidi"/>
            <w:b w:val="0"/>
            <w:noProof/>
            <w:sz w:val="22"/>
            <w:szCs w:val="22"/>
            <w:lang w:val="fi-FI" w:eastAsia="fi-FI"/>
          </w:rPr>
          <w:tab/>
        </w:r>
        <w:r w:rsidRPr="00A53DDD">
          <w:rPr>
            <w:rStyle w:val="Hyperlink"/>
            <w:rFonts w:cs="Arial"/>
            <w:noProof/>
            <w:lang w:val="en-US"/>
          </w:rPr>
          <w:t>A field in PSBCH is included to signal whether the TX UE is directly or indirectly connected to the synchronization source.</w:t>
        </w:r>
      </w:hyperlink>
    </w:p>
    <w:p w14:paraId="02BB6518"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8" w:history="1">
        <w:r w:rsidRPr="00A53DDD">
          <w:rPr>
            <w:rStyle w:val="Hyperlink"/>
            <w:noProof/>
            <w:lang w:val="en-US"/>
          </w:rPr>
          <w:t>Proposal 7</w:t>
        </w:r>
        <w:r>
          <w:rPr>
            <w:rFonts w:asciiTheme="minorHAnsi" w:eastAsiaTheme="minorEastAsia" w:hAnsiTheme="minorHAnsi" w:cstheme="minorBidi"/>
            <w:b w:val="0"/>
            <w:noProof/>
            <w:sz w:val="22"/>
            <w:szCs w:val="22"/>
            <w:lang w:val="fi-FI" w:eastAsia="fi-FI"/>
          </w:rPr>
          <w:tab/>
        </w:r>
        <w:r w:rsidRPr="00A53DDD">
          <w:rPr>
            <w:rStyle w:val="Hyperlink"/>
            <w:noProof/>
            <w:lang w:val="en-US"/>
          </w:rPr>
          <w:t xml:space="preserve">RAN1 assumes that network configuration avoids collision of SLSS transmissions with PRACH occasions at least when PRACH </w:t>
        </w:r>
        <w:r w:rsidRPr="00A53DDD">
          <w:rPr>
            <w:rStyle w:val="Hyperlink"/>
            <w:noProof/>
          </w:rPr>
          <w:t>configuration</w:t>
        </w:r>
        <w:r w:rsidRPr="00A53DDD">
          <w:rPr>
            <w:rStyle w:val="Hyperlink"/>
            <w:noProof/>
            <w:lang w:val="en-US"/>
          </w:rPr>
          <w:t xml:space="preserve"> period is larger than 40 ms.</w:t>
        </w:r>
      </w:hyperlink>
    </w:p>
    <w:p w14:paraId="6A21FE51"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09" w:history="1">
        <w:r w:rsidRPr="00A53DDD">
          <w:rPr>
            <w:rStyle w:val="Hyperlink"/>
            <w:rFonts w:cs="Arial"/>
            <w:noProof/>
            <w:lang w:val="en-US"/>
          </w:rPr>
          <w:t>Proposal 8</w:t>
        </w:r>
        <w:r>
          <w:rPr>
            <w:rFonts w:asciiTheme="minorHAnsi" w:eastAsiaTheme="minorEastAsia" w:hAnsiTheme="minorHAnsi" w:cstheme="minorBidi"/>
            <w:b w:val="0"/>
            <w:noProof/>
            <w:sz w:val="22"/>
            <w:szCs w:val="22"/>
            <w:lang w:val="fi-FI" w:eastAsia="fi-FI"/>
          </w:rPr>
          <w:tab/>
        </w:r>
        <w:r w:rsidRPr="00A53DDD">
          <w:rPr>
            <w:rStyle w:val="Hyperlink"/>
            <w:rFonts w:cs="Arial"/>
            <w:noProof/>
            <w:lang w:val="en-US"/>
          </w:rPr>
          <w:t>Remove the values in brackets for S-SSB periodicity.</w:t>
        </w:r>
      </w:hyperlink>
    </w:p>
    <w:p w14:paraId="352656E6"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0" w:history="1">
        <w:r w:rsidRPr="00A53DDD">
          <w:rPr>
            <w:rStyle w:val="Hyperlink"/>
            <w:rFonts w:eastAsia="DengXian"/>
            <w:noProof/>
            <w:lang w:val="en-US"/>
          </w:rPr>
          <w:t>Proposal 9</w:t>
        </w:r>
        <w:r>
          <w:rPr>
            <w:rFonts w:asciiTheme="minorHAnsi" w:eastAsiaTheme="minorEastAsia" w:hAnsiTheme="minorHAnsi" w:cstheme="minorBidi"/>
            <w:b w:val="0"/>
            <w:noProof/>
            <w:sz w:val="22"/>
            <w:szCs w:val="22"/>
            <w:lang w:val="fi-FI" w:eastAsia="fi-FI"/>
          </w:rPr>
          <w:tab/>
        </w:r>
        <w:r w:rsidRPr="00A53DDD">
          <w:rPr>
            <w:rStyle w:val="Hyperlink"/>
            <w:noProof/>
            <w:lang w:val="en-US"/>
          </w:rPr>
          <w:t xml:space="preserve">RAN4 </w:t>
        </w:r>
        <w:r w:rsidRPr="00A53DDD">
          <w:rPr>
            <w:rStyle w:val="Hyperlink"/>
            <w:noProof/>
          </w:rPr>
          <w:t>should</w:t>
        </w:r>
        <w:r w:rsidRPr="00A53DDD">
          <w:rPr>
            <w:rStyle w:val="Hyperlink"/>
            <w:noProof/>
            <w:lang w:val="en-US"/>
          </w:rPr>
          <w:t xml:space="preserve"> study how to select between different synchronization sources when both are present and have equal priority. RAN4 will inform other WGs if there is any specification impact, for example to RAN1.</w:t>
        </w:r>
      </w:hyperlink>
    </w:p>
    <w:p w14:paraId="1AE08E7F"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1" w:history="1">
        <w:r w:rsidRPr="00A53DDD">
          <w:rPr>
            <w:rStyle w:val="Hyperlink"/>
            <w:rFonts w:eastAsia="DengXian" w:cs="Arial"/>
            <w:noProof/>
            <w:lang w:val="en-US"/>
          </w:rPr>
          <w:t>Proposal 10</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Transmission of SLSS/PSBCH is a mandatory UE capability.</w:t>
        </w:r>
      </w:hyperlink>
    </w:p>
    <w:p w14:paraId="33C768EB"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2" w:history="1">
        <w:r w:rsidRPr="00A53DDD">
          <w:rPr>
            <w:rStyle w:val="Hyperlink"/>
            <w:rFonts w:eastAsia="DengXian" w:cs="Arial"/>
            <w:noProof/>
            <w:lang w:val="en-US"/>
          </w:rPr>
          <w:t>Proposal 11</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If GNSS is the configured top synchronization reference, the UE starts a restricted SLSS search after losing contact with the top synchronization reference.</w:t>
        </w:r>
      </w:hyperlink>
    </w:p>
    <w:p w14:paraId="0410BD7E"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3" w:history="1">
        <w:r w:rsidRPr="00A53DDD">
          <w:rPr>
            <w:rStyle w:val="Hyperlink"/>
            <w:rFonts w:eastAsia="DengXian" w:cs="Arial"/>
            <w:noProof/>
            <w:lang w:val="en-US"/>
          </w:rPr>
          <w:t>Proposal 12</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If network is the configured top synchronization reference, the UE starts a full SLSS search after losing contact with the top synchronization reference.</w:t>
        </w:r>
      </w:hyperlink>
    </w:p>
    <w:p w14:paraId="11422E25"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4" w:history="1">
        <w:r w:rsidRPr="00A53DDD">
          <w:rPr>
            <w:rStyle w:val="Hyperlink"/>
            <w:rFonts w:eastAsia="DengXian" w:cs="Arial"/>
            <w:noProof/>
            <w:lang w:val="en-US"/>
          </w:rPr>
          <w:t>Proposal 13</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Partial SLSS searches are not allowed when the UE loses connection to a synchronization reference that is not the top synchronization reference.</w:t>
        </w:r>
      </w:hyperlink>
    </w:p>
    <w:p w14:paraId="32F0EABA"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5" w:history="1">
        <w:r w:rsidRPr="00A53DDD">
          <w:rPr>
            <w:rStyle w:val="Hyperlink"/>
            <w:rFonts w:eastAsia="DengXian" w:cs="Arial"/>
            <w:noProof/>
            <w:lang w:val="en-US"/>
          </w:rPr>
          <w:t>Proposal 14</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Reuse the same conditions as in LTE for the triggering of SLSS transmission</w:t>
        </w:r>
        <w:r w:rsidRPr="00A53DDD">
          <w:rPr>
            <w:rStyle w:val="Hyperlink"/>
            <w:rFonts w:eastAsia="DengXian" w:cs="Arial"/>
            <w:noProof/>
          </w:rPr>
          <w:t xml:space="preserve"> in NR</w:t>
        </w:r>
        <w:r w:rsidRPr="00A53DDD">
          <w:rPr>
            <w:rStyle w:val="Hyperlink"/>
            <w:rFonts w:eastAsia="DengXian" w:cs="Arial"/>
            <w:noProof/>
            <w:lang w:val="en-US"/>
          </w:rPr>
          <w:t>.</w:t>
        </w:r>
      </w:hyperlink>
    </w:p>
    <w:p w14:paraId="5F69BEA1"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6" w:history="1">
        <w:r w:rsidRPr="00A53DDD">
          <w:rPr>
            <w:rStyle w:val="Hyperlink"/>
            <w:rFonts w:eastAsia="DengXian" w:cs="Arial"/>
            <w:noProof/>
            <w:lang w:val="en-US"/>
          </w:rPr>
          <w:t>Proposal 15</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A UE using SLSS as synchronization reference configures the corresponding parameters with the values provided in PSBCH by the synchronization reference.</w:t>
        </w:r>
      </w:hyperlink>
    </w:p>
    <w:p w14:paraId="76C31741" w14:textId="77777777" w:rsidR="00677FA3" w:rsidRDefault="00677FA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317" w:history="1">
        <w:r w:rsidRPr="00A53DDD">
          <w:rPr>
            <w:rStyle w:val="Hyperlink"/>
            <w:rFonts w:eastAsia="DengXian" w:cs="Arial"/>
            <w:noProof/>
            <w:lang w:val="en-US"/>
          </w:rPr>
          <w:t>Proposal 16</w:t>
        </w:r>
        <w:r>
          <w:rPr>
            <w:rFonts w:asciiTheme="minorHAnsi" w:eastAsiaTheme="minorEastAsia" w:hAnsiTheme="minorHAnsi" w:cstheme="minorBidi"/>
            <w:b w:val="0"/>
            <w:noProof/>
            <w:sz w:val="22"/>
            <w:szCs w:val="22"/>
            <w:lang w:val="fi-FI" w:eastAsia="fi-FI"/>
          </w:rPr>
          <w:tab/>
        </w:r>
        <w:r w:rsidRPr="00A53DDD">
          <w:rPr>
            <w:rStyle w:val="Hyperlink"/>
            <w:rFonts w:eastAsia="DengXian" w:cs="Arial"/>
            <w:noProof/>
            <w:lang w:val="en-US"/>
          </w:rPr>
          <w:t>For the fields carried by PSBCH, the UE uses the values in its current configuration.</w:t>
        </w:r>
      </w:hyperlink>
    </w:p>
    <w:p w14:paraId="65B70D2F" w14:textId="1A86B746" w:rsidR="000E365B" w:rsidRPr="00CE0424" w:rsidRDefault="000E365B" w:rsidP="000E365B">
      <w:pPr>
        <w:pStyle w:val="BodyText"/>
      </w:pPr>
      <w:r>
        <w:rPr>
          <w:b/>
          <w:bCs/>
          <w:lang w:val="en-US"/>
        </w:rPr>
        <w:fldChar w:fldCharType="end"/>
      </w:r>
    </w:p>
    <w:p w14:paraId="3A81B4D8" w14:textId="3837A956" w:rsidR="000E365B" w:rsidRPr="00CE0424" w:rsidRDefault="00974EEB" w:rsidP="000E365B">
      <w:pPr>
        <w:pStyle w:val="Heading1"/>
      </w:pPr>
      <w:bookmarkStart w:id="219" w:name="_In-sequence_SDU_delivery"/>
      <w:bookmarkEnd w:id="219"/>
      <w:r>
        <w:t>8</w:t>
      </w:r>
      <w:r w:rsidR="000E365B">
        <w:tab/>
      </w:r>
      <w:r w:rsidR="000E365B" w:rsidRPr="00CE0424">
        <w:t>References</w:t>
      </w:r>
    </w:p>
    <w:p w14:paraId="1B77509D" w14:textId="2797AB9A" w:rsidR="00A55B8D" w:rsidRPr="00D40198" w:rsidRDefault="00C338DB" w:rsidP="00D40198">
      <w:pPr>
        <w:pStyle w:val="Reference"/>
        <w:overflowPunct/>
        <w:autoSpaceDE/>
        <w:autoSpaceDN/>
        <w:adjustRightInd/>
        <w:spacing w:line="259" w:lineRule="auto"/>
        <w:jc w:val="left"/>
        <w:textAlignment w:val="auto"/>
        <w:rPr>
          <w:lang w:val="en-US"/>
        </w:rPr>
      </w:pPr>
      <w:bookmarkStart w:id="220" w:name="_Ref3885301"/>
      <w:bookmarkStart w:id="221" w:name="_Ref174151459"/>
      <w:bookmarkStart w:id="222" w:name="_Ref189809556"/>
      <w:bookmarkStart w:id="223" w:name="_Ref1123151"/>
      <w:r w:rsidRPr="00C338DB">
        <w:rPr>
          <w:lang w:val="en-US"/>
        </w:rPr>
        <w:t>R1-1910532</w:t>
      </w:r>
      <w:r w:rsidR="00A55B8D" w:rsidRPr="009F6173">
        <w:rPr>
          <w:lang w:val="en-US"/>
        </w:rPr>
        <w:t>, “</w:t>
      </w:r>
      <w:r w:rsidR="006533DF" w:rsidRPr="006533DF">
        <w:t>PHY layer structure for NR sidelink</w:t>
      </w:r>
      <w:r w:rsidR="00A55B8D" w:rsidRPr="009F6173">
        <w:rPr>
          <w:lang w:val="en-US"/>
        </w:rPr>
        <w:t xml:space="preserve">”, </w:t>
      </w:r>
      <w:r w:rsidR="00A55B8D">
        <w:t>Ericsson</w:t>
      </w:r>
      <w:r w:rsidR="00A55B8D" w:rsidRPr="009F6173">
        <w:rPr>
          <w:lang w:val="en-US"/>
        </w:rPr>
        <w:t>, RAN1#</w:t>
      </w:r>
      <w:r w:rsidR="00A55B8D">
        <w:t>98</w:t>
      </w:r>
      <w:r w:rsidR="00D40198">
        <w:t>bis</w:t>
      </w:r>
      <w:r w:rsidR="00A55B8D" w:rsidRPr="009F6173">
        <w:rPr>
          <w:lang w:val="en-US"/>
        </w:rPr>
        <w:t xml:space="preserve"> </w:t>
      </w:r>
      <w:r w:rsidR="00D40198">
        <w:rPr>
          <w:rFonts w:cs="Arial"/>
          <w:lang w:val="en-US"/>
        </w:rPr>
        <w:t>Chongqing</w:t>
      </w:r>
      <w:r w:rsidR="00A55B8D" w:rsidRPr="009F6173">
        <w:rPr>
          <w:lang w:val="en-US"/>
        </w:rPr>
        <w:t xml:space="preserve">, </w:t>
      </w:r>
      <w:r w:rsidR="00D40198">
        <w:t>China</w:t>
      </w:r>
      <w:r w:rsidR="00A55B8D" w:rsidRPr="009F6173">
        <w:rPr>
          <w:lang w:val="en-US"/>
        </w:rPr>
        <w:t xml:space="preserve">, </w:t>
      </w:r>
      <w:r w:rsidR="00D40198">
        <w:t>October</w:t>
      </w:r>
      <w:r w:rsidR="00A55B8D" w:rsidRPr="009F6173">
        <w:rPr>
          <w:lang w:val="en-US"/>
        </w:rPr>
        <w:t xml:space="preserve"> 2019.</w:t>
      </w:r>
    </w:p>
    <w:p w14:paraId="01ABCBA4" w14:textId="5E10F294" w:rsidR="002820B0" w:rsidRPr="00C338DB" w:rsidRDefault="000E365B" w:rsidP="00C338DB">
      <w:pPr>
        <w:pStyle w:val="Reference"/>
        <w:overflowPunct/>
        <w:autoSpaceDE/>
        <w:autoSpaceDN/>
        <w:adjustRightInd/>
        <w:spacing w:line="259" w:lineRule="auto"/>
        <w:jc w:val="left"/>
        <w:textAlignment w:val="auto"/>
        <w:rPr>
          <w:lang w:val="en-US"/>
        </w:rPr>
      </w:pPr>
      <w:r w:rsidRPr="009F6173">
        <w:rPr>
          <w:rFonts w:cs="Arial"/>
          <w:lang w:val="en-US"/>
        </w:rPr>
        <w:t>TS 36.331, “Radio Resource Control (RRC); Protocol specification”</w:t>
      </w:r>
      <w:bookmarkEnd w:id="220"/>
      <w:bookmarkEnd w:id="221"/>
      <w:bookmarkEnd w:id="222"/>
      <w:bookmarkEnd w:id="223"/>
    </w:p>
    <w:sectPr w:rsidR="002820B0" w:rsidRPr="00C338D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65836" w14:textId="77777777" w:rsidR="005D1BF7" w:rsidRDefault="005D1BF7">
      <w:r>
        <w:separator/>
      </w:r>
    </w:p>
  </w:endnote>
  <w:endnote w:type="continuationSeparator" w:id="0">
    <w:p w14:paraId="4E7BD073" w14:textId="77777777" w:rsidR="005D1BF7" w:rsidRDefault="005D1BF7">
      <w:r>
        <w:continuationSeparator/>
      </w:r>
    </w:p>
  </w:endnote>
  <w:endnote w:type="continuationNotice" w:id="1">
    <w:p w14:paraId="237AD5A2" w14:textId="77777777" w:rsidR="005D1BF7" w:rsidRDefault="005D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01B3" w14:textId="77777777" w:rsidR="005D1BF7" w:rsidRDefault="005D1BF7">
      <w:r>
        <w:separator/>
      </w:r>
    </w:p>
  </w:footnote>
  <w:footnote w:type="continuationSeparator" w:id="0">
    <w:p w14:paraId="510BFFFE" w14:textId="77777777" w:rsidR="005D1BF7" w:rsidRDefault="005D1BF7">
      <w:r>
        <w:continuationSeparator/>
      </w:r>
    </w:p>
  </w:footnote>
  <w:footnote w:type="continuationNotice" w:id="1">
    <w:p w14:paraId="4A258144" w14:textId="77777777" w:rsidR="005D1BF7" w:rsidRDefault="005D1B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33FAF"/>
    <w:multiLevelType w:val="hybridMultilevel"/>
    <w:tmpl w:val="D092F3B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464132"/>
    <w:multiLevelType w:val="hybridMultilevel"/>
    <w:tmpl w:val="A66873A0"/>
    <w:lvl w:ilvl="0" w:tplc="3FECCAC8">
      <w:start w:val="1"/>
      <w:numFmt w:val="bullet"/>
      <w:lvlText w:val="—"/>
      <w:lvlJc w:val="left"/>
      <w:pPr>
        <w:tabs>
          <w:tab w:val="num" w:pos="720"/>
        </w:tabs>
        <w:ind w:left="720" w:hanging="360"/>
      </w:pPr>
      <w:rPr>
        <w:rFonts w:ascii="Ericsson Hilda Light" w:hAnsi="Ericsson Hilda Light" w:hint="default"/>
      </w:rPr>
    </w:lvl>
    <w:lvl w:ilvl="1" w:tplc="E438D174">
      <w:start w:val="22973"/>
      <w:numFmt w:val="bullet"/>
      <w:lvlText w:val="—"/>
      <w:lvlJc w:val="left"/>
      <w:pPr>
        <w:tabs>
          <w:tab w:val="num" w:pos="1440"/>
        </w:tabs>
        <w:ind w:left="1440" w:hanging="360"/>
      </w:pPr>
      <w:rPr>
        <w:rFonts w:ascii="Ericsson Hilda Light" w:hAnsi="Ericsson Hilda Light" w:hint="default"/>
      </w:rPr>
    </w:lvl>
    <w:lvl w:ilvl="2" w:tplc="D7E87C32" w:tentative="1">
      <w:start w:val="1"/>
      <w:numFmt w:val="bullet"/>
      <w:lvlText w:val="—"/>
      <w:lvlJc w:val="left"/>
      <w:pPr>
        <w:tabs>
          <w:tab w:val="num" w:pos="2160"/>
        </w:tabs>
        <w:ind w:left="2160" w:hanging="360"/>
      </w:pPr>
      <w:rPr>
        <w:rFonts w:ascii="Ericsson Hilda Light" w:hAnsi="Ericsson Hilda Light" w:hint="default"/>
      </w:rPr>
    </w:lvl>
    <w:lvl w:ilvl="3" w:tplc="E9F614B0" w:tentative="1">
      <w:start w:val="1"/>
      <w:numFmt w:val="bullet"/>
      <w:lvlText w:val="—"/>
      <w:lvlJc w:val="left"/>
      <w:pPr>
        <w:tabs>
          <w:tab w:val="num" w:pos="2880"/>
        </w:tabs>
        <w:ind w:left="2880" w:hanging="360"/>
      </w:pPr>
      <w:rPr>
        <w:rFonts w:ascii="Ericsson Hilda Light" w:hAnsi="Ericsson Hilda Light" w:hint="default"/>
      </w:rPr>
    </w:lvl>
    <w:lvl w:ilvl="4" w:tplc="F8D23194" w:tentative="1">
      <w:start w:val="1"/>
      <w:numFmt w:val="bullet"/>
      <w:lvlText w:val="—"/>
      <w:lvlJc w:val="left"/>
      <w:pPr>
        <w:tabs>
          <w:tab w:val="num" w:pos="3600"/>
        </w:tabs>
        <w:ind w:left="3600" w:hanging="360"/>
      </w:pPr>
      <w:rPr>
        <w:rFonts w:ascii="Ericsson Hilda Light" w:hAnsi="Ericsson Hilda Light" w:hint="default"/>
      </w:rPr>
    </w:lvl>
    <w:lvl w:ilvl="5" w:tplc="6CB4CA5A" w:tentative="1">
      <w:start w:val="1"/>
      <w:numFmt w:val="bullet"/>
      <w:lvlText w:val="—"/>
      <w:lvlJc w:val="left"/>
      <w:pPr>
        <w:tabs>
          <w:tab w:val="num" w:pos="4320"/>
        </w:tabs>
        <w:ind w:left="4320" w:hanging="360"/>
      </w:pPr>
      <w:rPr>
        <w:rFonts w:ascii="Ericsson Hilda Light" w:hAnsi="Ericsson Hilda Light" w:hint="default"/>
      </w:rPr>
    </w:lvl>
    <w:lvl w:ilvl="6" w:tplc="8E107CB0" w:tentative="1">
      <w:start w:val="1"/>
      <w:numFmt w:val="bullet"/>
      <w:lvlText w:val="—"/>
      <w:lvlJc w:val="left"/>
      <w:pPr>
        <w:tabs>
          <w:tab w:val="num" w:pos="5040"/>
        </w:tabs>
        <w:ind w:left="5040" w:hanging="360"/>
      </w:pPr>
      <w:rPr>
        <w:rFonts w:ascii="Ericsson Hilda Light" w:hAnsi="Ericsson Hilda Light" w:hint="default"/>
      </w:rPr>
    </w:lvl>
    <w:lvl w:ilvl="7" w:tplc="0458158A" w:tentative="1">
      <w:start w:val="1"/>
      <w:numFmt w:val="bullet"/>
      <w:lvlText w:val="—"/>
      <w:lvlJc w:val="left"/>
      <w:pPr>
        <w:tabs>
          <w:tab w:val="num" w:pos="5760"/>
        </w:tabs>
        <w:ind w:left="5760" w:hanging="360"/>
      </w:pPr>
      <w:rPr>
        <w:rFonts w:ascii="Ericsson Hilda Light" w:hAnsi="Ericsson Hilda Light" w:hint="default"/>
      </w:rPr>
    </w:lvl>
    <w:lvl w:ilvl="8" w:tplc="D7C651C8"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7E1B8A"/>
    <w:multiLevelType w:val="multilevel"/>
    <w:tmpl w:val="653C2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9A5"/>
    <w:multiLevelType w:val="hybridMultilevel"/>
    <w:tmpl w:val="FF76F140"/>
    <w:lvl w:ilvl="0" w:tplc="D53CFB60">
      <w:start w:val="1"/>
      <w:numFmt w:val="bullet"/>
      <w:lvlText w:val="—"/>
      <w:lvlJc w:val="left"/>
      <w:pPr>
        <w:tabs>
          <w:tab w:val="num" w:pos="720"/>
        </w:tabs>
        <w:ind w:left="720" w:hanging="360"/>
      </w:pPr>
      <w:rPr>
        <w:rFonts w:ascii="Ericsson Hilda Light" w:hAnsi="Ericsson Hilda Light" w:hint="default"/>
      </w:rPr>
    </w:lvl>
    <w:lvl w:ilvl="1" w:tplc="44D4F5F8" w:tentative="1">
      <w:start w:val="1"/>
      <w:numFmt w:val="bullet"/>
      <w:lvlText w:val="—"/>
      <w:lvlJc w:val="left"/>
      <w:pPr>
        <w:tabs>
          <w:tab w:val="num" w:pos="1440"/>
        </w:tabs>
        <w:ind w:left="1440" w:hanging="360"/>
      </w:pPr>
      <w:rPr>
        <w:rFonts w:ascii="Ericsson Hilda Light" w:hAnsi="Ericsson Hilda Light" w:hint="default"/>
      </w:rPr>
    </w:lvl>
    <w:lvl w:ilvl="2" w:tplc="D54A1D32">
      <w:start w:val="1"/>
      <w:numFmt w:val="bullet"/>
      <w:lvlText w:val="—"/>
      <w:lvlJc w:val="left"/>
      <w:pPr>
        <w:tabs>
          <w:tab w:val="num" w:pos="2160"/>
        </w:tabs>
        <w:ind w:left="2160" w:hanging="360"/>
      </w:pPr>
      <w:rPr>
        <w:rFonts w:ascii="Ericsson Hilda Light" w:hAnsi="Ericsson Hilda Light" w:hint="default"/>
      </w:rPr>
    </w:lvl>
    <w:lvl w:ilvl="3" w:tplc="85DAA080">
      <w:start w:val="23374"/>
      <w:numFmt w:val="bullet"/>
      <w:lvlText w:val="—"/>
      <w:lvlJc w:val="left"/>
      <w:pPr>
        <w:tabs>
          <w:tab w:val="num" w:pos="2880"/>
        </w:tabs>
        <w:ind w:left="2880" w:hanging="360"/>
      </w:pPr>
      <w:rPr>
        <w:rFonts w:ascii="Ericsson Hilda Light" w:hAnsi="Ericsson Hilda Light" w:hint="default"/>
      </w:rPr>
    </w:lvl>
    <w:lvl w:ilvl="4" w:tplc="FA72A948" w:tentative="1">
      <w:start w:val="1"/>
      <w:numFmt w:val="bullet"/>
      <w:lvlText w:val="—"/>
      <w:lvlJc w:val="left"/>
      <w:pPr>
        <w:tabs>
          <w:tab w:val="num" w:pos="3600"/>
        </w:tabs>
        <w:ind w:left="3600" w:hanging="360"/>
      </w:pPr>
      <w:rPr>
        <w:rFonts w:ascii="Ericsson Hilda Light" w:hAnsi="Ericsson Hilda Light" w:hint="default"/>
      </w:rPr>
    </w:lvl>
    <w:lvl w:ilvl="5" w:tplc="ACA01B94" w:tentative="1">
      <w:start w:val="1"/>
      <w:numFmt w:val="bullet"/>
      <w:lvlText w:val="—"/>
      <w:lvlJc w:val="left"/>
      <w:pPr>
        <w:tabs>
          <w:tab w:val="num" w:pos="4320"/>
        </w:tabs>
        <w:ind w:left="4320" w:hanging="360"/>
      </w:pPr>
      <w:rPr>
        <w:rFonts w:ascii="Ericsson Hilda Light" w:hAnsi="Ericsson Hilda Light" w:hint="default"/>
      </w:rPr>
    </w:lvl>
    <w:lvl w:ilvl="6" w:tplc="3DAAF64A" w:tentative="1">
      <w:start w:val="1"/>
      <w:numFmt w:val="bullet"/>
      <w:lvlText w:val="—"/>
      <w:lvlJc w:val="left"/>
      <w:pPr>
        <w:tabs>
          <w:tab w:val="num" w:pos="5040"/>
        </w:tabs>
        <w:ind w:left="5040" w:hanging="360"/>
      </w:pPr>
      <w:rPr>
        <w:rFonts w:ascii="Ericsson Hilda Light" w:hAnsi="Ericsson Hilda Light" w:hint="default"/>
      </w:rPr>
    </w:lvl>
    <w:lvl w:ilvl="7" w:tplc="147C4BC4" w:tentative="1">
      <w:start w:val="1"/>
      <w:numFmt w:val="bullet"/>
      <w:lvlText w:val="—"/>
      <w:lvlJc w:val="left"/>
      <w:pPr>
        <w:tabs>
          <w:tab w:val="num" w:pos="5760"/>
        </w:tabs>
        <w:ind w:left="5760" w:hanging="360"/>
      </w:pPr>
      <w:rPr>
        <w:rFonts w:ascii="Ericsson Hilda Light" w:hAnsi="Ericsson Hilda Light" w:hint="default"/>
      </w:rPr>
    </w:lvl>
    <w:lvl w:ilvl="8" w:tplc="1A0491DE"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A904DF6"/>
    <w:multiLevelType w:val="hybridMultilevel"/>
    <w:tmpl w:val="508679DA"/>
    <w:lvl w:ilvl="0" w:tplc="0B342772">
      <w:start w:val="1"/>
      <w:numFmt w:val="bullet"/>
      <w:lvlText w:val="-"/>
      <w:lvlJc w:val="left"/>
      <w:pPr>
        <w:tabs>
          <w:tab w:val="num" w:pos="720"/>
        </w:tabs>
        <w:ind w:left="720" w:hanging="360"/>
      </w:pPr>
      <w:rPr>
        <w:rFonts w:ascii="Ericsson Capital TT" w:hAnsi="Ericsson Capital TT" w:hint="default"/>
      </w:rPr>
    </w:lvl>
    <w:lvl w:ilvl="1" w:tplc="B2BC614E" w:tentative="1">
      <w:start w:val="1"/>
      <w:numFmt w:val="bullet"/>
      <w:lvlText w:val="-"/>
      <w:lvlJc w:val="left"/>
      <w:pPr>
        <w:tabs>
          <w:tab w:val="num" w:pos="1440"/>
        </w:tabs>
        <w:ind w:left="1440" w:hanging="360"/>
      </w:pPr>
      <w:rPr>
        <w:rFonts w:ascii="Ericsson Capital TT" w:hAnsi="Ericsson Capital TT" w:hint="default"/>
      </w:rPr>
    </w:lvl>
    <w:lvl w:ilvl="2" w:tplc="6EB0C00A" w:tentative="1">
      <w:start w:val="1"/>
      <w:numFmt w:val="bullet"/>
      <w:lvlText w:val="-"/>
      <w:lvlJc w:val="left"/>
      <w:pPr>
        <w:tabs>
          <w:tab w:val="num" w:pos="2160"/>
        </w:tabs>
        <w:ind w:left="2160" w:hanging="360"/>
      </w:pPr>
      <w:rPr>
        <w:rFonts w:ascii="Ericsson Capital TT" w:hAnsi="Ericsson Capital TT" w:hint="default"/>
      </w:rPr>
    </w:lvl>
    <w:lvl w:ilvl="3" w:tplc="F4C82B5E">
      <w:start w:val="1"/>
      <w:numFmt w:val="bullet"/>
      <w:lvlText w:val="-"/>
      <w:lvlJc w:val="left"/>
      <w:pPr>
        <w:tabs>
          <w:tab w:val="num" w:pos="2880"/>
        </w:tabs>
        <w:ind w:left="2880" w:hanging="360"/>
      </w:pPr>
      <w:rPr>
        <w:rFonts w:ascii="Ericsson Capital TT" w:hAnsi="Ericsson Capital TT" w:hint="default"/>
      </w:rPr>
    </w:lvl>
    <w:lvl w:ilvl="4" w:tplc="FD2C1E54" w:tentative="1">
      <w:start w:val="1"/>
      <w:numFmt w:val="bullet"/>
      <w:lvlText w:val="-"/>
      <w:lvlJc w:val="left"/>
      <w:pPr>
        <w:tabs>
          <w:tab w:val="num" w:pos="3600"/>
        </w:tabs>
        <w:ind w:left="3600" w:hanging="360"/>
      </w:pPr>
      <w:rPr>
        <w:rFonts w:ascii="Ericsson Capital TT" w:hAnsi="Ericsson Capital TT" w:hint="default"/>
      </w:rPr>
    </w:lvl>
    <w:lvl w:ilvl="5" w:tplc="CE02ACC2" w:tentative="1">
      <w:start w:val="1"/>
      <w:numFmt w:val="bullet"/>
      <w:lvlText w:val="-"/>
      <w:lvlJc w:val="left"/>
      <w:pPr>
        <w:tabs>
          <w:tab w:val="num" w:pos="4320"/>
        </w:tabs>
        <w:ind w:left="4320" w:hanging="360"/>
      </w:pPr>
      <w:rPr>
        <w:rFonts w:ascii="Ericsson Capital TT" w:hAnsi="Ericsson Capital TT" w:hint="default"/>
      </w:rPr>
    </w:lvl>
    <w:lvl w:ilvl="6" w:tplc="2ED86F5E" w:tentative="1">
      <w:start w:val="1"/>
      <w:numFmt w:val="bullet"/>
      <w:lvlText w:val="-"/>
      <w:lvlJc w:val="left"/>
      <w:pPr>
        <w:tabs>
          <w:tab w:val="num" w:pos="5040"/>
        </w:tabs>
        <w:ind w:left="5040" w:hanging="360"/>
      </w:pPr>
      <w:rPr>
        <w:rFonts w:ascii="Ericsson Capital TT" w:hAnsi="Ericsson Capital TT" w:hint="default"/>
      </w:rPr>
    </w:lvl>
    <w:lvl w:ilvl="7" w:tplc="C930E7C6" w:tentative="1">
      <w:start w:val="1"/>
      <w:numFmt w:val="bullet"/>
      <w:lvlText w:val="-"/>
      <w:lvlJc w:val="left"/>
      <w:pPr>
        <w:tabs>
          <w:tab w:val="num" w:pos="5760"/>
        </w:tabs>
        <w:ind w:left="5760" w:hanging="360"/>
      </w:pPr>
      <w:rPr>
        <w:rFonts w:ascii="Ericsson Capital TT" w:hAnsi="Ericsson Capital TT" w:hint="default"/>
      </w:rPr>
    </w:lvl>
    <w:lvl w:ilvl="8" w:tplc="28EA0E12"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8"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92C1A"/>
    <w:multiLevelType w:val="hybridMultilevel"/>
    <w:tmpl w:val="5B70409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6C50145D"/>
    <w:multiLevelType w:val="hybridMultilevel"/>
    <w:tmpl w:val="F184159A"/>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D82153"/>
    <w:multiLevelType w:val="hybridMultilevel"/>
    <w:tmpl w:val="69E26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A3AA9"/>
    <w:multiLevelType w:val="hybridMultilevel"/>
    <w:tmpl w:val="6DCEF4D4"/>
    <w:lvl w:ilvl="0" w:tplc="0BDA0F1E">
      <w:start w:val="1"/>
      <w:numFmt w:val="bullet"/>
      <w:lvlText w:val="-"/>
      <w:lvlJc w:val="left"/>
      <w:pPr>
        <w:tabs>
          <w:tab w:val="num" w:pos="720"/>
        </w:tabs>
        <w:ind w:left="720" w:hanging="360"/>
      </w:pPr>
      <w:rPr>
        <w:rFonts w:ascii="Ericsson Capital TT" w:hAnsi="Ericsson Capital TT" w:hint="default"/>
      </w:rPr>
    </w:lvl>
    <w:lvl w:ilvl="1" w:tplc="473AED44" w:tentative="1">
      <w:start w:val="1"/>
      <w:numFmt w:val="bullet"/>
      <w:lvlText w:val="-"/>
      <w:lvlJc w:val="left"/>
      <w:pPr>
        <w:tabs>
          <w:tab w:val="num" w:pos="1440"/>
        </w:tabs>
        <w:ind w:left="1440" w:hanging="360"/>
      </w:pPr>
      <w:rPr>
        <w:rFonts w:ascii="Ericsson Capital TT" w:hAnsi="Ericsson Capital TT" w:hint="default"/>
      </w:rPr>
    </w:lvl>
    <w:lvl w:ilvl="2" w:tplc="0E203CC2" w:tentative="1">
      <w:start w:val="1"/>
      <w:numFmt w:val="bullet"/>
      <w:lvlText w:val="-"/>
      <w:lvlJc w:val="left"/>
      <w:pPr>
        <w:tabs>
          <w:tab w:val="num" w:pos="2160"/>
        </w:tabs>
        <w:ind w:left="2160" w:hanging="360"/>
      </w:pPr>
      <w:rPr>
        <w:rFonts w:ascii="Ericsson Capital TT" w:hAnsi="Ericsson Capital TT" w:hint="default"/>
      </w:rPr>
    </w:lvl>
    <w:lvl w:ilvl="3" w:tplc="370060B8">
      <w:start w:val="1"/>
      <w:numFmt w:val="bullet"/>
      <w:lvlText w:val="-"/>
      <w:lvlJc w:val="left"/>
      <w:pPr>
        <w:tabs>
          <w:tab w:val="num" w:pos="2880"/>
        </w:tabs>
        <w:ind w:left="2880" w:hanging="360"/>
      </w:pPr>
      <w:rPr>
        <w:rFonts w:ascii="Ericsson Capital TT" w:hAnsi="Ericsson Capital TT" w:hint="default"/>
      </w:rPr>
    </w:lvl>
    <w:lvl w:ilvl="4" w:tplc="CA06FEF2" w:tentative="1">
      <w:start w:val="1"/>
      <w:numFmt w:val="bullet"/>
      <w:lvlText w:val="-"/>
      <w:lvlJc w:val="left"/>
      <w:pPr>
        <w:tabs>
          <w:tab w:val="num" w:pos="3600"/>
        </w:tabs>
        <w:ind w:left="3600" w:hanging="360"/>
      </w:pPr>
      <w:rPr>
        <w:rFonts w:ascii="Ericsson Capital TT" w:hAnsi="Ericsson Capital TT" w:hint="default"/>
      </w:rPr>
    </w:lvl>
    <w:lvl w:ilvl="5" w:tplc="1E5291F6" w:tentative="1">
      <w:start w:val="1"/>
      <w:numFmt w:val="bullet"/>
      <w:lvlText w:val="-"/>
      <w:lvlJc w:val="left"/>
      <w:pPr>
        <w:tabs>
          <w:tab w:val="num" w:pos="4320"/>
        </w:tabs>
        <w:ind w:left="4320" w:hanging="360"/>
      </w:pPr>
      <w:rPr>
        <w:rFonts w:ascii="Ericsson Capital TT" w:hAnsi="Ericsson Capital TT" w:hint="default"/>
      </w:rPr>
    </w:lvl>
    <w:lvl w:ilvl="6" w:tplc="20F021EA" w:tentative="1">
      <w:start w:val="1"/>
      <w:numFmt w:val="bullet"/>
      <w:lvlText w:val="-"/>
      <w:lvlJc w:val="left"/>
      <w:pPr>
        <w:tabs>
          <w:tab w:val="num" w:pos="5040"/>
        </w:tabs>
        <w:ind w:left="5040" w:hanging="360"/>
      </w:pPr>
      <w:rPr>
        <w:rFonts w:ascii="Ericsson Capital TT" w:hAnsi="Ericsson Capital TT" w:hint="default"/>
      </w:rPr>
    </w:lvl>
    <w:lvl w:ilvl="7" w:tplc="7D2ED804" w:tentative="1">
      <w:start w:val="1"/>
      <w:numFmt w:val="bullet"/>
      <w:lvlText w:val="-"/>
      <w:lvlJc w:val="left"/>
      <w:pPr>
        <w:tabs>
          <w:tab w:val="num" w:pos="5760"/>
        </w:tabs>
        <w:ind w:left="5760" w:hanging="360"/>
      </w:pPr>
      <w:rPr>
        <w:rFonts w:ascii="Ericsson Capital TT" w:hAnsi="Ericsson Capital TT" w:hint="default"/>
      </w:rPr>
    </w:lvl>
    <w:lvl w:ilvl="8" w:tplc="C9CC390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26"/>
  </w:num>
  <w:num w:numId="3">
    <w:abstractNumId w:val="20"/>
  </w:num>
  <w:num w:numId="4">
    <w:abstractNumId w:val="21"/>
  </w:num>
  <w:num w:numId="5">
    <w:abstractNumId w:val="17"/>
  </w:num>
  <w:num w:numId="6">
    <w:abstractNumId w:val="23"/>
  </w:num>
  <w:num w:numId="7">
    <w:abstractNumId w:val="32"/>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5"/>
  </w:num>
  <w:num w:numId="17">
    <w:abstractNumId w:val="10"/>
  </w:num>
  <w:num w:numId="18">
    <w:abstractNumId w:val="12"/>
  </w:num>
  <w:num w:numId="19">
    <w:abstractNumId w:val="6"/>
  </w:num>
  <w:num w:numId="20">
    <w:abstractNumId w:val="42"/>
  </w:num>
  <w:num w:numId="21">
    <w:abstractNumId w:val="19"/>
  </w:num>
  <w:num w:numId="22">
    <w:abstractNumId w:val="40"/>
  </w:num>
  <w:num w:numId="2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6"/>
  </w:num>
  <w:num w:numId="26">
    <w:abstractNumId w:val="9"/>
  </w:num>
  <w:num w:numId="27">
    <w:abstractNumId w:val="38"/>
  </w:num>
  <w:num w:numId="28">
    <w:abstractNumId w:val="34"/>
  </w:num>
  <w:num w:numId="29">
    <w:abstractNumId w:val="7"/>
  </w:num>
  <w:num w:numId="30">
    <w:abstractNumId w:val="15"/>
  </w:num>
  <w:num w:numId="31">
    <w:abstractNumId w:val="27"/>
  </w:num>
  <w:num w:numId="32">
    <w:abstractNumId w:val="28"/>
  </w:num>
  <w:num w:numId="33">
    <w:abstractNumId w:val="37"/>
  </w:num>
  <w:num w:numId="34">
    <w:abstractNumId w:val="36"/>
  </w:num>
  <w:num w:numId="35">
    <w:abstractNumId w:val="5"/>
  </w:num>
  <w:num w:numId="36">
    <w:abstractNumId w:val="8"/>
  </w:num>
  <w:num w:numId="37">
    <w:abstractNumId w:val="24"/>
  </w:num>
  <w:num w:numId="38">
    <w:abstractNumId w:val="39"/>
  </w:num>
  <w:num w:numId="39">
    <w:abstractNumId w:val="43"/>
  </w:num>
  <w:num w:numId="40">
    <w:abstractNumId w:val="25"/>
  </w:num>
  <w:num w:numId="41">
    <w:abstractNumId w:val="44"/>
  </w:num>
  <w:num w:numId="42">
    <w:abstractNumId w:val="3"/>
  </w:num>
  <w:num w:numId="43">
    <w:abstractNumId w:val="20"/>
  </w:num>
  <w:num w:numId="44">
    <w:abstractNumId w:val="20"/>
  </w:num>
  <w:num w:numId="45">
    <w:abstractNumId w:val="31"/>
  </w:num>
  <w:num w:numId="46">
    <w:abstractNumId w:val="11"/>
  </w:num>
  <w:num w:numId="47">
    <w:abstractNumId w:val="33"/>
  </w:num>
  <w:num w:numId="48">
    <w:abstractNumId w:val="20"/>
  </w:num>
  <w:num w:numId="49">
    <w:abstractNumId w:val="20"/>
  </w:num>
  <w:num w:numId="50">
    <w:abstractNumId w:val="20"/>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AC7"/>
    <w:rsid w:val="00011B28"/>
    <w:rsid w:val="00015794"/>
    <w:rsid w:val="00015D15"/>
    <w:rsid w:val="000166B9"/>
    <w:rsid w:val="00020A63"/>
    <w:rsid w:val="0002564D"/>
    <w:rsid w:val="00025ECA"/>
    <w:rsid w:val="000325B8"/>
    <w:rsid w:val="00034C15"/>
    <w:rsid w:val="00036BA1"/>
    <w:rsid w:val="000401AD"/>
    <w:rsid w:val="000422E2"/>
    <w:rsid w:val="00042F22"/>
    <w:rsid w:val="000444EF"/>
    <w:rsid w:val="000445E4"/>
    <w:rsid w:val="000468F3"/>
    <w:rsid w:val="00052A07"/>
    <w:rsid w:val="000530B5"/>
    <w:rsid w:val="000534E3"/>
    <w:rsid w:val="0005606A"/>
    <w:rsid w:val="00056F10"/>
    <w:rsid w:val="00057117"/>
    <w:rsid w:val="000616E7"/>
    <w:rsid w:val="0006487E"/>
    <w:rsid w:val="00065E1A"/>
    <w:rsid w:val="0006600A"/>
    <w:rsid w:val="000720B3"/>
    <w:rsid w:val="00074204"/>
    <w:rsid w:val="00076FEE"/>
    <w:rsid w:val="00077E5F"/>
    <w:rsid w:val="0008036A"/>
    <w:rsid w:val="00081AE6"/>
    <w:rsid w:val="000851C8"/>
    <w:rsid w:val="000855EB"/>
    <w:rsid w:val="00085B52"/>
    <w:rsid w:val="000866F2"/>
    <w:rsid w:val="00087E0D"/>
    <w:rsid w:val="0009009F"/>
    <w:rsid w:val="00091557"/>
    <w:rsid w:val="000924C1"/>
    <w:rsid w:val="000924F0"/>
    <w:rsid w:val="00093474"/>
    <w:rsid w:val="0009510F"/>
    <w:rsid w:val="00096980"/>
    <w:rsid w:val="0009699F"/>
    <w:rsid w:val="000A1B7B"/>
    <w:rsid w:val="000A34CA"/>
    <w:rsid w:val="000A56F2"/>
    <w:rsid w:val="000A622F"/>
    <w:rsid w:val="000A6C39"/>
    <w:rsid w:val="000A7A06"/>
    <w:rsid w:val="000B1E38"/>
    <w:rsid w:val="000B2719"/>
    <w:rsid w:val="000B3A8F"/>
    <w:rsid w:val="000B4440"/>
    <w:rsid w:val="000B46A3"/>
    <w:rsid w:val="000B4AB9"/>
    <w:rsid w:val="000B57C8"/>
    <w:rsid w:val="000B58C3"/>
    <w:rsid w:val="000B61E9"/>
    <w:rsid w:val="000C0AF9"/>
    <w:rsid w:val="000C165A"/>
    <w:rsid w:val="000C2E19"/>
    <w:rsid w:val="000D0D07"/>
    <w:rsid w:val="000D27F0"/>
    <w:rsid w:val="000D4797"/>
    <w:rsid w:val="000D6C7C"/>
    <w:rsid w:val="000E0527"/>
    <w:rsid w:val="000E1E92"/>
    <w:rsid w:val="000E365B"/>
    <w:rsid w:val="000E65D0"/>
    <w:rsid w:val="000F0272"/>
    <w:rsid w:val="000F06D6"/>
    <w:rsid w:val="000F0EB1"/>
    <w:rsid w:val="000F1106"/>
    <w:rsid w:val="000F1F07"/>
    <w:rsid w:val="000F3BE9"/>
    <w:rsid w:val="000F3F6C"/>
    <w:rsid w:val="000F41B4"/>
    <w:rsid w:val="000F5B00"/>
    <w:rsid w:val="000F68DF"/>
    <w:rsid w:val="000F6DF3"/>
    <w:rsid w:val="001005FF"/>
    <w:rsid w:val="0010275F"/>
    <w:rsid w:val="00104C3A"/>
    <w:rsid w:val="001062FB"/>
    <w:rsid w:val="001063E6"/>
    <w:rsid w:val="00113CF4"/>
    <w:rsid w:val="001141B1"/>
    <w:rsid w:val="001153EA"/>
    <w:rsid w:val="00115643"/>
    <w:rsid w:val="00116765"/>
    <w:rsid w:val="001177AC"/>
    <w:rsid w:val="001178D8"/>
    <w:rsid w:val="001219F5"/>
    <w:rsid w:val="00121A20"/>
    <w:rsid w:val="0012377F"/>
    <w:rsid w:val="00124314"/>
    <w:rsid w:val="001267D1"/>
    <w:rsid w:val="00126B4A"/>
    <w:rsid w:val="001272D3"/>
    <w:rsid w:val="00132595"/>
    <w:rsid w:val="00132FD0"/>
    <w:rsid w:val="001344C0"/>
    <w:rsid w:val="001346FA"/>
    <w:rsid w:val="001348F5"/>
    <w:rsid w:val="00135252"/>
    <w:rsid w:val="00137AB5"/>
    <w:rsid w:val="00137F0B"/>
    <w:rsid w:val="001401BC"/>
    <w:rsid w:val="00151A1D"/>
    <w:rsid w:val="00151E23"/>
    <w:rsid w:val="001526E0"/>
    <w:rsid w:val="001551B5"/>
    <w:rsid w:val="00161B5B"/>
    <w:rsid w:val="001659C1"/>
    <w:rsid w:val="00173270"/>
    <w:rsid w:val="00173A8E"/>
    <w:rsid w:val="0017502C"/>
    <w:rsid w:val="00180E1D"/>
    <w:rsid w:val="001811AB"/>
    <w:rsid w:val="0018143F"/>
    <w:rsid w:val="00181FF8"/>
    <w:rsid w:val="00182BDC"/>
    <w:rsid w:val="00182D7B"/>
    <w:rsid w:val="001830AE"/>
    <w:rsid w:val="00187CE4"/>
    <w:rsid w:val="00190AC1"/>
    <w:rsid w:val="00191D86"/>
    <w:rsid w:val="0019341A"/>
    <w:rsid w:val="00197DF9"/>
    <w:rsid w:val="001A0D5C"/>
    <w:rsid w:val="001A1987"/>
    <w:rsid w:val="001A2564"/>
    <w:rsid w:val="001A6173"/>
    <w:rsid w:val="001A6CBA"/>
    <w:rsid w:val="001B0D97"/>
    <w:rsid w:val="001B5A5D"/>
    <w:rsid w:val="001C1CE5"/>
    <w:rsid w:val="001C25A6"/>
    <w:rsid w:val="001C3D2A"/>
    <w:rsid w:val="001C749C"/>
    <w:rsid w:val="001D48C1"/>
    <w:rsid w:val="001D51BA"/>
    <w:rsid w:val="001D53E7"/>
    <w:rsid w:val="001D61D1"/>
    <w:rsid w:val="001D6342"/>
    <w:rsid w:val="001D6D53"/>
    <w:rsid w:val="001D6F52"/>
    <w:rsid w:val="001E58E2"/>
    <w:rsid w:val="001E7AED"/>
    <w:rsid w:val="001F3916"/>
    <w:rsid w:val="001F3D7F"/>
    <w:rsid w:val="001F4618"/>
    <w:rsid w:val="001F54C5"/>
    <w:rsid w:val="001F662C"/>
    <w:rsid w:val="001F7074"/>
    <w:rsid w:val="00200490"/>
    <w:rsid w:val="00201F3A"/>
    <w:rsid w:val="00202746"/>
    <w:rsid w:val="00203F96"/>
    <w:rsid w:val="00206715"/>
    <w:rsid w:val="002069B2"/>
    <w:rsid w:val="0020744A"/>
    <w:rsid w:val="00207669"/>
    <w:rsid w:val="00207FA3"/>
    <w:rsid w:val="00214DA8"/>
    <w:rsid w:val="00214EB2"/>
    <w:rsid w:val="00215423"/>
    <w:rsid w:val="002158FA"/>
    <w:rsid w:val="00220462"/>
    <w:rsid w:val="00220600"/>
    <w:rsid w:val="002224DB"/>
    <w:rsid w:val="002231F6"/>
    <w:rsid w:val="00223FCB"/>
    <w:rsid w:val="002252C3"/>
    <w:rsid w:val="00225C54"/>
    <w:rsid w:val="00230765"/>
    <w:rsid w:val="00230ABF"/>
    <w:rsid w:val="00230D18"/>
    <w:rsid w:val="002319E4"/>
    <w:rsid w:val="00232F8B"/>
    <w:rsid w:val="002330D5"/>
    <w:rsid w:val="0023435A"/>
    <w:rsid w:val="002343E9"/>
    <w:rsid w:val="00235632"/>
    <w:rsid w:val="00235872"/>
    <w:rsid w:val="002372B9"/>
    <w:rsid w:val="00241559"/>
    <w:rsid w:val="002435B3"/>
    <w:rsid w:val="002458EB"/>
    <w:rsid w:val="002500C8"/>
    <w:rsid w:val="002504F7"/>
    <w:rsid w:val="00257543"/>
    <w:rsid w:val="00257994"/>
    <w:rsid w:val="00260FCF"/>
    <w:rsid w:val="002617E7"/>
    <w:rsid w:val="00264228"/>
    <w:rsid w:val="00264334"/>
    <w:rsid w:val="0026473E"/>
    <w:rsid w:val="00266130"/>
    <w:rsid w:val="00266214"/>
    <w:rsid w:val="00267C83"/>
    <w:rsid w:val="0027144F"/>
    <w:rsid w:val="00271813"/>
    <w:rsid w:val="00271F3A"/>
    <w:rsid w:val="00273278"/>
    <w:rsid w:val="002737F4"/>
    <w:rsid w:val="00277E71"/>
    <w:rsid w:val="002805F5"/>
    <w:rsid w:val="00280751"/>
    <w:rsid w:val="002807CA"/>
    <w:rsid w:val="002820B0"/>
    <w:rsid w:val="0028280A"/>
    <w:rsid w:val="0028517F"/>
    <w:rsid w:val="00286ACD"/>
    <w:rsid w:val="00287838"/>
    <w:rsid w:val="002907B5"/>
    <w:rsid w:val="00292EB7"/>
    <w:rsid w:val="00293413"/>
    <w:rsid w:val="00296227"/>
    <w:rsid w:val="00296F44"/>
    <w:rsid w:val="0029777D"/>
    <w:rsid w:val="00297BCC"/>
    <w:rsid w:val="002A04BA"/>
    <w:rsid w:val="002A055E"/>
    <w:rsid w:val="002A1D4E"/>
    <w:rsid w:val="002A2869"/>
    <w:rsid w:val="002B24D6"/>
    <w:rsid w:val="002B41C7"/>
    <w:rsid w:val="002B50F6"/>
    <w:rsid w:val="002C1787"/>
    <w:rsid w:val="002C41E6"/>
    <w:rsid w:val="002C568E"/>
    <w:rsid w:val="002C7B4A"/>
    <w:rsid w:val="002D071A"/>
    <w:rsid w:val="002D0942"/>
    <w:rsid w:val="002D1481"/>
    <w:rsid w:val="002D1A50"/>
    <w:rsid w:val="002D24AF"/>
    <w:rsid w:val="002D29B7"/>
    <w:rsid w:val="002D33FE"/>
    <w:rsid w:val="002D34B2"/>
    <w:rsid w:val="002D48B0"/>
    <w:rsid w:val="002D5B37"/>
    <w:rsid w:val="002D7637"/>
    <w:rsid w:val="002E17F2"/>
    <w:rsid w:val="002E2CF2"/>
    <w:rsid w:val="002E6F5E"/>
    <w:rsid w:val="002E7CAE"/>
    <w:rsid w:val="002F2771"/>
    <w:rsid w:val="002F37A9"/>
    <w:rsid w:val="00301CE6"/>
    <w:rsid w:val="0030256B"/>
    <w:rsid w:val="00302AD5"/>
    <w:rsid w:val="0030501F"/>
    <w:rsid w:val="00307BA1"/>
    <w:rsid w:val="003107B6"/>
    <w:rsid w:val="00311702"/>
    <w:rsid w:val="00311E82"/>
    <w:rsid w:val="00313FD6"/>
    <w:rsid w:val="003143BD"/>
    <w:rsid w:val="00315363"/>
    <w:rsid w:val="003203ED"/>
    <w:rsid w:val="00322C9F"/>
    <w:rsid w:val="00324881"/>
    <w:rsid w:val="00324D23"/>
    <w:rsid w:val="00327633"/>
    <w:rsid w:val="0033013E"/>
    <w:rsid w:val="00331751"/>
    <w:rsid w:val="00332141"/>
    <w:rsid w:val="003330C2"/>
    <w:rsid w:val="00334579"/>
    <w:rsid w:val="00335858"/>
    <w:rsid w:val="00336348"/>
    <w:rsid w:val="00336BDA"/>
    <w:rsid w:val="00342BD7"/>
    <w:rsid w:val="00345CB9"/>
    <w:rsid w:val="00346DB5"/>
    <w:rsid w:val="003477B1"/>
    <w:rsid w:val="00353037"/>
    <w:rsid w:val="00357380"/>
    <w:rsid w:val="0035746C"/>
    <w:rsid w:val="00360135"/>
    <w:rsid w:val="003602D9"/>
    <w:rsid w:val="003604CE"/>
    <w:rsid w:val="0036090C"/>
    <w:rsid w:val="00361721"/>
    <w:rsid w:val="00363ABF"/>
    <w:rsid w:val="003673E0"/>
    <w:rsid w:val="00370E47"/>
    <w:rsid w:val="003742AC"/>
    <w:rsid w:val="00377CE1"/>
    <w:rsid w:val="00380770"/>
    <w:rsid w:val="00381AB3"/>
    <w:rsid w:val="00385BF0"/>
    <w:rsid w:val="003862BF"/>
    <w:rsid w:val="00391F46"/>
    <w:rsid w:val="00392FB7"/>
    <w:rsid w:val="003939FF"/>
    <w:rsid w:val="003A2223"/>
    <w:rsid w:val="003A2A0F"/>
    <w:rsid w:val="003A3E62"/>
    <w:rsid w:val="003A45A1"/>
    <w:rsid w:val="003A4800"/>
    <w:rsid w:val="003A5B0A"/>
    <w:rsid w:val="003A6BAC"/>
    <w:rsid w:val="003A70A4"/>
    <w:rsid w:val="003A7128"/>
    <w:rsid w:val="003A7EF3"/>
    <w:rsid w:val="003B159C"/>
    <w:rsid w:val="003B163E"/>
    <w:rsid w:val="003B369F"/>
    <w:rsid w:val="003B36A3"/>
    <w:rsid w:val="003B39E8"/>
    <w:rsid w:val="003B3D55"/>
    <w:rsid w:val="003B419A"/>
    <w:rsid w:val="003B64BB"/>
    <w:rsid w:val="003B686F"/>
    <w:rsid w:val="003B7FE5"/>
    <w:rsid w:val="003C11C8"/>
    <w:rsid w:val="003C1D49"/>
    <w:rsid w:val="003C2702"/>
    <w:rsid w:val="003C33EF"/>
    <w:rsid w:val="003C7806"/>
    <w:rsid w:val="003D109F"/>
    <w:rsid w:val="003D2478"/>
    <w:rsid w:val="003D3C45"/>
    <w:rsid w:val="003D5B1F"/>
    <w:rsid w:val="003D725E"/>
    <w:rsid w:val="003E15FA"/>
    <w:rsid w:val="003E55E4"/>
    <w:rsid w:val="003E74E3"/>
    <w:rsid w:val="003F05C7"/>
    <w:rsid w:val="003F2CD4"/>
    <w:rsid w:val="003F6BBE"/>
    <w:rsid w:val="004000E8"/>
    <w:rsid w:val="00401A07"/>
    <w:rsid w:val="00402E2B"/>
    <w:rsid w:val="0040512B"/>
    <w:rsid w:val="00405CA5"/>
    <w:rsid w:val="00407CD3"/>
    <w:rsid w:val="00410134"/>
    <w:rsid w:val="00410B72"/>
    <w:rsid w:val="00410F18"/>
    <w:rsid w:val="004120FD"/>
    <w:rsid w:val="0041263E"/>
    <w:rsid w:val="00413AAC"/>
    <w:rsid w:val="00413E92"/>
    <w:rsid w:val="00421105"/>
    <w:rsid w:val="00422AA4"/>
    <w:rsid w:val="00423EAC"/>
    <w:rsid w:val="004242F4"/>
    <w:rsid w:val="00425FA4"/>
    <w:rsid w:val="00426F1D"/>
    <w:rsid w:val="00427248"/>
    <w:rsid w:val="00430406"/>
    <w:rsid w:val="00437447"/>
    <w:rsid w:val="00441A92"/>
    <w:rsid w:val="00443145"/>
    <w:rsid w:val="004431DC"/>
    <w:rsid w:val="00444F56"/>
    <w:rsid w:val="00446231"/>
    <w:rsid w:val="00446488"/>
    <w:rsid w:val="00450B7E"/>
    <w:rsid w:val="004517AA"/>
    <w:rsid w:val="0045184C"/>
    <w:rsid w:val="00452CAC"/>
    <w:rsid w:val="00457565"/>
    <w:rsid w:val="00457B71"/>
    <w:rsid w:val="0046194A"/>
    <w:rsid w:val="00461DDF"/>
    <w:rsid w:val="00463BA1"/>
    <w:rsid w:val="00464C55"/>
    <w:rsid w:val="004653BE"/>
    <w:rsid w:val="0046592B"/>
    <w:rsid w:val="004669E2"/>
    <w:rsid w:val="00467EAC"/>
    <w:rsid w:val="00470C31"/>
    <w:rsid w:val="00471DE0"/>
    <w:rsid w:val="004734D0"/>
    <w:rsid w:val="0047556B"/>
    <w:rsid w:val="00477768"/>
    <w:rsid w:val="00486068"/>
    <w:rsid w:val="00486F1D"/>
    <w:rsid w:val="00492BC5"/>
    <w:rsid w:val="004964F1"/>
    <w:rsid w:val="004A0242"/>
    <w:rsid w:val="004A07BA"/>
    <w:rsid w:val="004A0A5B"/>
    <w:rsid w:val="004A16BC"/>
    <w:rsid w:val="004A1798"/>
    <w:rsid w:val="004A2B94"/>
    <w:rsid w:val="004A456F"/>
    <w:rsid w:val="004B5164"/>
    <w:rsid w:val="004B6578"/>
    <w:rsid w:val="004B6F6A"/>
    <w:rsid w:val="004B7C0C"/>
    <w:rsid w:val="004C2FC9"/>
    <w:rsid w:val="004C3898"/>
    <w:rsid w:val="004D36B1"/>
    <w:rsid w:val="004D6DB7"/>
    <w:rsid w:val="004D7EBD"/>
    <w:rsid w:val="004E1F0A"/>
    <w:rsid w:val="004E23F4"/>
    <w:rsid w:val="004E2680"/>
    <w:rsid w:val="004E28F9"/>
    <w:rsid w:val="004E462E"/>
    <w:rsid w:val="004E56DC"/>
    <w:rsid w:val="004E76F4"/>
    <w:rsid w:val="004F0B4E"/>
    <w:rsid w:val="004F0B6C"/>
    <w:rsid w:val="004F2078"/>
    <w:rsid w:val="004F4DA3"/>
    <w:rsid w:val="00503251"/>
    <w:rsid w:val="00503A76"/>
    <w:rsid w:val="0050454C"/>
    <w:rsid w:val="00506557"/>
    <w:rsid w:val="0050677A"/>
    <w:rsid w:val="00507E4A"/>
    <w:rsid w:val="005108D8"/>
    <w:rsid w:val="005116F9"/>
    <w:rsid w:val="00512D5A"/>
    <w:rsid w:val="005153A7"/>
    <w:rsid w:val="00516D92"/>
    <w:rsid w:val="005219CF"/>
    <w:rsid w:val="00526A3D"/>
    <w:rsid w:val="00533827"/>
    <w:rsid w:val="00534B59"/>
    <w:rsid w:val="00536759"/>
    <w:rsid w:val="0053749C"/>
    <w:rsid w:val="00537C62"/>
    <w:rsid w:val="00541D88"/>
    <w:rsid w:val="0054441E"/>
    <w:rsid w:val="00546970"/>
    <w:rsid w:val="00552173"/>
    <w:rsid w:val="005524B5"/>
    <w:rsid w:val="00554E19"/>
    <w:rsid w:val="00555244"/>
    <w:rsid w:val="00557660"/>
    <w:rsid w:val="0056121F"/>
    <w:rsid w:val="00563061"/>
    <w:rsid w:val="00570617"/>
    <w:rsid w:val="00571B83"/>
    <w:rsid w:val="00572023"/>
    <w:rsid w:val="00572505"/>
    <w:rsid w:val="005733BB"/>
    <w:rsid w:val="005806EE"/>
    <w:rsid w:val="00582809"/>
    <w:rsid w:val="0058798C"/>
    <w:rsid w:val="005900FA"/>
    <w:rsid w:val="005935A4"/>
    <w:rsid w:val="00594476"/>
    <w:rsid w:val="005948C2"/>
    <w:rsid w:val="00595DCA"/>
    <w:rsid w:val="0059779B"/>
    <w:rsid w:val="005A209A"/>
    <w:rsid w:val="005A662D"/>
    <w:rsid w:val="005B1409"/>
    <w:rsid w:val="005B35D7"/>
    <w:rsid w:val="005B392A"/>
    <w:rsid w:val="005B3AA3"/>
    <w:rsid w:val="005B6F83"/>
    <w:rsid w:val="005C74FB"/>
    <w:rsid w:val="005C7D2D"/>
    <w:rsid w:val="005D0189"/>
    <w:rsid w:val="005D1602"/>
    <w:rsid w:val="005D1BF7"/>
    <w:rsid w:val="005E1222"/>
    <w:rsid w:val="005E3461"/>
    <w:rsid w:val="005E36BD"/>
    <w:rsid w:val="005E385F"/>
    <w:rsid w:val="005E5B81"/>
    <w:rsid w:val="005F1559"/>
    <w:rsid w:val="005F1F6D"/>
    <w:rsid w:val="005F2CB1"/>
    <w:rsid w:val="005F2FB6"/>
    <w:rsid w:val="005F3025"/>
    <w:rsid w:val="005F4079"/>
    <w:rsid w:val="005F618C"/>
    <w:rsid w:val="005F6CC6"/>
    <w:rsid w:val="005F70BD"/>
    <w:rsid w:val="0060283C"/>
    <w:rsid w:val="00604CBD"/>
    <w:rsid w:val="00604F14"/>
    <w:rsid w:val="00611B83"/>
    <w:rsid w:val="00613257"/>
    <w:rsid w:val="0061495C"/>
    <w:rsid w:val="00620A71"/>
    <w:rsid w:val="00620D80"/>
    <w:rsid w:val="006234A6"/>
    <w:rsid w:val="0062386D"/>
    <w:rsid w:val="00630001"/>
    <w:rsid w:val="0063102A"/>
    <w:rsid w:val="006311B3"/>
    <w:rsid w:val="0063284C"/>
    <w:rsid w:val="006334B2"/>
    <w:rsid w:val="00634053"/>
    <w:rsid w:val="00635D7A"/>
    <w:rsid w:val="00636398"/>
    <w:rsid w:val="006368D3"/>
    <w:rsid w:val="00636AE7"/>
    <w:rsid w:val="006377EC"/>
    <w:rsid w:val="0064151F"/>
    <w:rsid w:val="00641533"/>
    <w:rsid w:val="0064208D"/>
    <w:rsid w:val="00643475"/>
    <w:rsid w:val="0064396A"/>
    <w:rsid w:val="00644E75"/>
    <w:rsid w:val="0064624E"/>
    <w:rsid w:val="00650AB9"/>
    <w:rsid w:val="006533DF"/>
    <w:rsid w:val="00655733"/>
    <w:rsid w:val="00655ACD"/>
    <w:rsid w:val="00656A92"/>
    <w:rsid w:val="00656DDE"/>
    <w:rsid w:val="0066011D"/>
    <w:rsid w:val="006607C0"/>
    <w:rsid w:val="006613A6"/>
    <w:rsid w:val="0066208D"/>
    <w:rsid w:val="006627A2"/>
    <w:rsid w:val="006634E6"/>
    <w:rsid w:val="006655EE"/>
    <w:rsid w:val="00665EDB"/>
    <w:rsid w:val="00667EE7"/>
    <w:rsid w:val="00670165"/>
    <w:rsid w:val="00670922"/>
    <w:rsid w:val="00670BE1"/>
    <w:rsid w:val="0067218F"/>
    <w:rsid w:val="006741F2"/>
    <w:rsid w:val="00674CC3"/>
    <w:rsid w:val="00675C72"/>
    <w:rsid w:val="006771F9"/>
    <w:rsid w:val="006776D7"/>
    <w:rsid w:val="00677FA3"/>
    <w:rsid w:val="00681003"/>
    <w:rsid w:val="006817C9"/>
    <w:rsid w:val="00682EC2"/>
    <w:rsid w:val="006833E6"/>
    <w:rsid w:val="00683ECE"/>
    <w:rsid w:val="00690C57"/>
    <w:rsid w:val="00695FC2"/>
    <w:rsid w:val="00696949"/>
    <w:rsid w:val="00697052"/>
    <w:rsid w:val="006A46FB"/>
    <w:rsid w:val="006A5E28"/>
    <w:rsid w:val="006A697B"/>
    <w:rsid w:val="006A7AFF"/>
    <w:rsid w:val="006B0998"/>
    <w:rsid w:val="006B1816"/>
    <w:rsid w:val="006B2099"/>
    <w:rsid w:val="006B50CF"/>
    <w:rsid w:val="006B66A9"/>
    <w:rsid w:val="006B67B0"/>
    <w:rsid w:val="006C03B8"/>
    <w:rsid w:val="006C5EC9"/>
    <w:rsid w:val="006C6059"/>
    <w:rsid w:val="006C7522"/>
    <w:rsid w:val="006D130E"/>
    <w:rsid w:val="006D6F08"/>
    <w:rsid w:val="006E062C"/>
    <w:rsid w:val="006E0A22"/>
    <w:rsid w:val="006E1C82"/>
    <w:rsid w:val="006E28B7"/>
    <w:rsid w:val="006E2A9B"/>
    <w:rsid w:val="006E3310"/>
    <w:rsid w:val="006E45E3"/>
    <w:rsid w:val="006E4E39"/>
    <w:rsid w:val="006E565E"/>
    <w:rsid w:val="006E673D"/>
    <w:rsid w:val="006E7D3B"/>
    <w:rsid w:val="006F1B70"/>
    <w:rsid w:val="006F2FEA"/>
    <w:rsid w:val="006F341D"/>
    <w:rsid w:val="006F3CDE"/>
    <w:rsid w:val="006F58D4"/>
    <w:rsid w:val="006F6582"/>
    <w:rsid w:val="0070346E"/>
    <w:rsid w:val="00704EDB"/>
    <w:rsid w:val="00705C7A"/>
    <w:rsid w:val="00705F08"/>
    <w:rsid w:val="00706101"/>
    <w:rsid w:val="00707072"/>
    <w:rsid w:val="00707D61"/>
    <w:rsid w:val="00712287"/>
    <w:rsid w:val="00712772"/>
    <w:rsid w:val="007148D3"/>
    <w:rsid w:val="00715B9A"/>
    <w:rsid w:val="00716D55"/>
    <w:rsid w:val="00716FBB"/>
    <w:rsid w:val="00717171"/>
    <w:rsid w:val="0072342A"/>
    <w:rsid w:val="007257D0"/>
    <w:rsid w:val="00726EA6"/>
    <w:rsid w:val="00727208"/>
    <w:rsid w:val="00727680"/>
    <w:rsid w:val="007348B1"/>
    <w:rsid w:val="007362A6"/>
    <w:rsid w:val="00736D7D"/>
    <w:rsid w:val="00740E58"/>
    <w:rsid w:val="00742115"/>
    <w:rsid w:val="007445A0"/>
    <w:rsid w:val="0074524B"/>
    <w:rsid w:val="00747D8B"/>
    <w:rsid w:val="00750442"/>
    <w:rsid w:val="00750D58"/>
    <w:rsid w:val="00751228"/>
    <w:rsid w:val="007571E1"/>
    <w:rsid w:val="00757C30"/>
    <w:rsid w:val="007604B2"/>
    <w:rsid w:val="00760BBD"/>
    <w:rsid w:val="007630BE"/>
    <w:rsid w:val="00765281"/>
    <w:rsid w:val="00766BAD"/>
    <w:rsid w:val="007729A2"/>
    <w:rsid w:val="007741CF"/>
    <w:rsid w:val="007744A2"/>
    <w:rsid w:val="007755F2"/>
    <w:rsid w:val="007758B5"/>
    <w:rsid w:val="00776971"/>
    <w:rsid w:val="00777590"/>
    <w:rsid w:val="00780A80"/>
    <w:rsid w:val="0078177E"/>
    <w:rsid w:val="00781FCA"/>
    <w:rsid w:val="0078304C"/>
    <w:rsid w:val="00783673"/>
    <w:rsid w:val="0078542F"/>
    <w:rsid w:val="00785490"/>
    <w:rsid w:val="00790A4A"/>
    <w:rsid w:val="00792518"/>
    <w:rsid w:val="007925EA"/>
    <w:rsid w:val="00792A19"/>
    <w:rsid w:val="00793CD8"/>
    <w:rsid w:val="007948AB"/>
    <w:rsid w:val="00795C92"/>
    <w:rsid w:val="00796231"/>
    <w:rsid w:val="0079626D"/>
    <w:rsid w:val="007A1CB3"/>
    <w:rsid w:val="007A306F"/>
    <w:rsid w:val="007A43A6"/>
    <w:rsid w:val="007A4817"/>
    <w:rsid w:val="007A58A6"/>
    <w:rsid w:val="007A5C0B"/>
    <w:rsid w:val="007B3D2D"/>
    <w:rsid w:val="007B50AE"/>
    <w:rsid w:val="007B51DF"/>
    <w:rsid w:val="007C05DD"/>
    <w:rsid w:val="007C3D18"/>
    <w:rsid w:val="007C60BF"/>
    <w:rsid w:val="007C6A07"/>
    <w:rsid w:val="007C75A1"/>
    <w:rsid w:val="007C77A5"/>
    <w:rsid w:val="007D04E5"/>
    <w:rsid w:val="007D3040"/>
    <w:rsid w:val="007D5901"/>
    <w:rsid w:val="007D7526"/>
    <w:rsid w:val="007E4610"/>
    <w:rsid w:val="007E4715"/>
    <w:rsid w:val="007E505B"/>
    <w:rsid w:val="007E7091"/>
    <w:rsid w:val="007E7E37"/>
    <w:rsid w:val="007E7F6B"/>
    <w:rsid w:val="007F1AAB"/>
    <w:rsid w:val="0080076A"/>
    <w:rsid w:val="00803FAE"/>
    <w:rsid w:val="00804701"/>
    <w:rsid w:val="00805007"/>
    <w:rsid w:val="0080605F"/>
    <w:rsid w:val="00807786"/>
    <w:rsid w:val="00807EFC"/>
    <w:rsid w:val="00811FCB"/>
    <w:rsid w:val="008158D6"/>
    <w:rsid w:val="00817196"/>
    <w:rsid w:val="00822734"/>
    <w:rsid w:val="008235DB"/>
    <w:rsid w:val="0082496D"/>
    <w:rsid w:val="00824AB4"/>
    <w:rsid w:val="0082566B"/>
    <w:rsid w:val="00825C42"/>
    <w:rsid w:val="00825D25"/>
    <w:rsid w:val="00827D6F"/>
    <w:rsid w:val="00835F53"/>
    <w:rsid w:val="008376AC"/>
    <w:rsid w:val="00843099"/>
    <w:rsid w:val="008444E8"/>
    <w:rsid w:val="00844E80"/>
    <w:rsid w:val="00846AF9"/>
    <w:rsid w:val="00846FE7"/>
    <w:rsid w:val="00856911"/>
    <w:rsid w:val="0086037F"/>
    <w:rsid w:val="0086283A"/>
    <w:rsid w:val="00865F4E"/>
    <w:rsid w:val="0086643B"/>
    <w:rsid w:val="008677FD"/>
    <w:rsid w:val="00867B23"/>
    <w:rsid w:val="00867B62"/>
    <w:rsid w:val="008706D4"/>
    <w:rsid w:val="00870F8A"/>
    <w:rsid w:val="008719A4"/>
    <w:rsid w:val="00871D23"/>
    <w:rsid w:val="00874312"/>
    <w:rsid w:val="0087437C"/>
    <w:rsid w:val="00875CD7"/>
    <w:rsid w:val="00876B4D"/>
    <w:rsid w:val="00877F18"/>
    <w:rsid w:val="008862B2"/>
    <w:rsid w:val="00886927"/>
    <w:rsid w:val="00890334"/>
    <w:rsid w:val="008941E3"/>
    <w:rsid w:val="00894A88"/>
    <w:rsid w:val="00895127"/>
    <w:rsid w:val="00895386"/>
    <w:rsid w:val="008A1E0A"/>
    <w:rsid w:val="008A21FF"/>
    <w:rsid w:val="008A2CE2"/>
    <w:rsid w:val="008A30AC"/>
    <w:rsid w:val="008A44B8"/>
    <w:rsid w:val="008A51A8"/>
    <w:rsid w:val="008A54C7"/>
    <w:rsid w:val="008A77D8"/>
    <w:rsid w:val="008B0483"/>
    <w:rsid w:val="008B120C"/>
    <w:rsid w:val="008B51A0"/>
    <w:rsid w:val="008B539A"/>
    <w:rsid w:val="008B592A"/>
    <w:rsid w:val="008B5C5C"/>
    <w:rsid w:val="008B7B5C"/>
    <w:rsid w:val="008C0C99"/>
    <w:rsid w:val="008C2017"/>
    <w:rsid w:val="008C4958"/>
    <w:rsid w:val="008C4BAA"/>
    <w:rsid w:val="008C50E7"/>
    <w:rsid w:val="008C57E4"/>
    <w:rsid w:val="008C6AE8"/>
    <w:rsid w:val="008C7573"/>
    <w:rsid w:val="008D00A5"/>
    <w:rsid w:val="008D192A"/>
    <w:rsid w:val="008D34F1"/>
    <w:rsid w:val="008D39D8"/>
    <w:rsid w:val="008D6D1A"/>
    <w:rsid w:val="008E065E"/>
    <w:rsid w:val="008E0927"/>
    <w:rsid w:val="008E1909"/>
    <w:rsid w:val="008F1C4E"/>
    <w:rsid w:val="008F1EAB"/>
    <w:rsid w:val="008F33DC"/>
    <w:rsid w:val="008F477F"/>
    <w:rsid w:val="008F6A3C"/>
    <w:rsid w:val="008F6B5E"/>
    <w:rsid w:val="008F7BC8"/>
    <w:rsid w:val="00900ED6"/>
    <w:rsid w:val="00902350"/>
    <w:rsid w:val="0090336B"/>
    <w:rsid w:val="009053AA"/>
    <w:rsid w:val="00906939"/>
    <w:rsid w:val="00910B7D"/>
    <w:rsid w:val="00911DFB"/>
    <w:rsid w:val="00911E98"/>
    <w:rsid w:val="009139D9"/>
    <w:rsid w:val="00914AD8"/>
    <w:rsid w:val="00916079"/>
    <w:rsid w:val="00917916"/>
    <w:rsid w:val="00917CE9"/>
    <w:rsid w:val="00920922"/>
    <w:rsid w:val="0092097A"/>
    <w:rsid w:val="00920BF2"/>
    <w:rsid w:val="00922010"/>
    <w:rsid w:val="009237D6"/>
    <w:rsid w:val="00930377"/>
    <w:rsid w:val="00931BD9"/>
    <w:rsid w:val="0093274F"/>
    <w:rsid w:val="009368F3"/>
    <w:rsid w:val="00937B98"/>
    <w:rsid w:val="009413C4"/>
    <w:rsid w:val="00941636"/>
    <w:rsid w:val="00941A58"/>
    <w:rsid w:val="00943742"/>
    <w:rsid w:val="00945C05"/>
    <w:rsid w:val="00946945"/>
    <w:rsid w:val="00946A42"/>
    <w:rsid w:val="00947713"/>
    <w:rsid w:val="0095008E"/>
    <w:rsid w:val="00950DE7"/>
    <w:rsid w:val="00953902"/>
    <w:rsid w:val="00953920"/>
    <w:rsid w:val="00953D47"/>
    <w:rsid w:val="00955607"/>
    <w:rsid w:val="0095681E"/>
    <w:rsid w:val="00956EC3"/>
    <w:rsid w:val="009572D4"/>
    <w:rsid w:val="009604BE"/>
    <w:rsid w:val="00961921"/>
    <w:rsid w:val="0096430A"/>
    <w:rsid w:val="009643BC"/>
    <w:rsid w:val="0096554B"/>
    <w:rsid w:val="0096584A"/>
    <w:rsid w:val="00966062"/>
    <w:rsid w:val="00971F08"/>
    <w:rsid w:val="00972257"/>
    <w:rsid w:val="00974EEB"/>
    <w:rsid w:val="0097603D"/>
    <w:rsid w:val="00976949"/>
    <w:rsid w:val="00977F3F"/>
    <w:rsid w:val="00980477"/>
    <w:rsid w:val="009833D5"/>
    <w:rsid w:val="00985253"/>
    <w:rsid w:val="009853B3"/>
    <w:rsid w:val="0099009E"/>
    <w:rsid w:val="00990630"/>
    <w:rsid w:val="00991761"/>
    <w:rsid w:val="00994DCA"/>
    <w:rsid w:val="009960EC"/>
    <w:rsid w:val="009970DD"/>
    <w:rsid w:val="00997D2C"/>
    <w:rsid w:val="009A0FBA"/>
    <w:rsid w:val="009A1601"/>
    <w:rsid w:val="009A3BB6"/>
    <w:rsid w:val="009A462D"/>
    <w:rsid w:val="009A5CBA"/>
    <w:rsid w:val="009A6038"/>
    <w:rsid w:val="009A696A"/>
    <w:rsid w:val="009B1F30"/>
    <w:rsid w:val="009B3AC2"/>
    <w:rsid w:val="009B4DF4"/>
    <w:rsid w:val="009B564E"/>
    <w:rsid w:val="009B6B15"/>
    <w:rsid w:val="009B7E87"/>
    <w:rsid w:val="009C0169"/>
    <w:rsid w:val="009C0D99"/>
    <w:rsid w:val="009C1A96"/>
    <w:rsid w:val="009C403E"/>
    <w:rsid w:val="009C4A7E"/>
    <w:rsid w:val="009C7AC3"/>
    <w:rsid w:val="009D4FF0"/>
    <w:rsid w:val="009D6D49"/>
    <w:rsid w:val="009D703C"/>
    <w:rsid w:val="009D718F"/>
    <w:rsid w:val="009E068F"/>
    <w:rsid w:val="009E14E0"/>
    <w:rsid w:val="009E2B91"/>
    <w:rsid w:val="009E35DB"/>
    <w:rsid w:val="009E384D"/>
    <w:rsid w:val="009E47A3"/>
    <w:rsid w:val="009E4F4D"/>
    <w:rsid w:val="009F08F3"/>
    <w:rsid w:val="009F344F"/>
    <w:rsid w:val="00A025C8"/>
    <w:rsid w:val="00A031D8"/>
    <w:rsid w:val="00A048A8"/>
    <w:rsid w:val="00A04F49"/>
    <w:rsid w:val="00A13E54"/>
    <w:rsid w:val="00A15A0B"/>
    <w:rsid w:val="00A17F63"/>
    <w:rsid w:val="00A2193B"/>
    <w:rsid w:val="00A23050"/>
    <w:rsid w:val="00A2351A"/>
    <w:rsid w:val="00A264A9"/>
    <w:rsid w:val="00A26DCF"/>
    <w:rsid w:val="00A2770D"/>
    <w:rsid w:val="00A27720"/>
    <w:rsid w:val="00A27785"/>
    <w:rsid w:val="00A27CEB"/>
    <w:rsid w:val="00A30187"/>
    <w:rsid w:val="00A3448A"/>
    <w:rsid w:val="00A36297"/>
    <w:rsid w:val="00A366AF"/>
    <w:rsid w:val="00A41E2B"/>
    <w:rsid w:val="00A427BB"/>
    <w:rsid w:val="00A44248"/>
    <w:rsid w:val="00A45B74"/>
    <w:rsid w:val="00A52E1D"/>
    <w:rsid w:val="00A55B8D"/>
    <w:rsid w:val="00A61499"/>
    <w:rsid w:val="00A62A77"/>
    <w:rsid w:val="00A63483"/>
    <w:rsid w:val="00A657D7"/>
    <w:rsid w:val="00A660AC"/>
    <w:rsid w:val="00A67E6C"/>
    <w:rsid w:val="00A70AD4"/>
    <w:rsid w:val="00A71B99"/>
    <w:rsid w:val="00A739D0"/>
    <w:rsid w:val="00A74727"/>
    <w:rsid w:val="00A761D4"/>
    <w:rsid w:val="00A77EC4"/>
    <w:rsid w:val="00A80177"/>
    <w:rsid w:val="00A80931"/>
    <w:rsid w:val="00A8163F"/>
    <w:rsid w:val="00A835C5"/>
    <w:rsid w:val="00A84C3B"/>
    <w:rsid w:val="00A9257E"/>
    <w:rsid w:val="00A92879"/>
    <w:rsid w:val="00A93B64"/>
    <w:rsid w:val="00A9442A"/>
    <w:rsid w:val="00AA016F"/>
    <w:rsid w:val="00AA1278"/>
    <w:rsid w:val="00AA1ED6"/>
    <w:rsid w:val="00AA4694"/>
    <w:rsid w:val="00AA4A5A"/>
    <w:rsid w:val="00AA51D6"/>
    <w:rsid w:val="00AA643A"/>
    <w:rsid w:val="00AB0792"/>
    <w:rsid w:val="00AB0B70"/>
    <w:rsid w:val="00AB0BC8"/>
    <w:rsid w:val="00AB11CA"/>
    <w:rsid w:val="00AB14D9"/>
    <w:rsid w:val="00AB356A"/>
    <w:rsid w:val="00AB4336"/>
    <w:rsid w:val="00AB476D"/>
    <w:rsid w:val="00AB4AB8"/>
    <w:rsid w:val="00AB655E"/>
    <w:rsid w:val="00AB68D1"/>
    <w:rsid w:val="00AB7756"/>
    <w:rsid w:val="00AB7FB0"/>
    <w:rsid w:val="00AC007F"/>
    <w:rsid w:val="00AC0782"/>
    <w:rsid w:val="00AC0BF1"/>
    <w:rsid w:val="00AC2ECD"/>
    <w:rsid w:val="00AC3119"/>
    <w:rsid w:val="00AC31B6"/>
    <w:rsid w:val="00AC49FB"/>
    <w:rsid w:val="00AC5A10"/>
    <w:rsid w:val="00AD0AA3"/>
    <w:rsid w:val="00AD2ED0"/>
    <w:rsid w:val="00AD3370"/>
    <w:rsid w:val="00AD3F94"/>
    <w:rsid w:val="00AD4A5A"/>
    <w:rsid w:val="00AE27AC"/>
    <w:rsid w:val="00AE40E0"/>
    <w:rsid w:val="00AE4DBA"/>
    <w:rsid w:val="00AE4F07"/>
    <w:rsid w:val="00AE5220"/>
    <w:rsid w:val="00AE68AF"/>
    <w:rsid w:val="00AF1C5D"/>
    <w:rsid w:val="00AF42D7"/>
    <w:rsid w:val="00B006FE"/>
    <w:rsid w:val="00B007CB"/>
    <w:rsid w:val="00B02074"/>
    <w:rsid w:val="00B02AA9"/>
    <w:rsid w:val="00B02FA3"/>
    <w:rsid w:val="00B05084"/>
    <w:rsid w:val="00B11AEB"/>
    <w:rsid w:val="00B157F9"/>
    <w:rsid w:val="00B20256"/>
    <w:rsid w:val="00B20D09"/>
    <w:rsid w:val="00B242B1"/>
    <w:rsid w:val="00B2763F"/>
    <w:rsid w:val="00B27AAC"/>
    <w:rsid w:val="00B30929"/>
    <w:rsid w:val="00B36802"/>
    <w:rsid w:val="00B372AA"/>
    <w:rsid w:val="00B40445"/>
    <w:rsid w:val="00B409E0"/>
    <w:rsid w:val="00B41888"/>
    <w:rsid w:val="00B450DF"/>
    <w:rsid w:val="00B45A52"/>
    <w:rsid w:val="00B46175"/>
    <w:rsid w:val="00B46F3D"/>
    <w:rsid w:val="00B50412"/>
    <w:rsid w:val="00B548B7"/>
    <w:rsid w:val="00B643C9"/>
    <w:rsid w:val="00B664C7"/>
    <w:rsid w:val="00B739DD"/>
    <w:rsid w:val="00B739F6"/>
    <w:rsid w:val="00B771CF"/>
    <w:rsid w:val="00B81A6C"/>
    <w:rsid w:val="00B85DE5"/>
    <w:rsid w:val="00B86C3B"/>
    <w:rsid w:val="00B90F73"/>
    <w:rsid w:val="00B93B59"/>
    <w:rsid w:val="00B9406A"/>
    <w:rsid w:val="00B95B75"/>
    <w:rsid w:val="00BA2280"/>
    <w:rsid w:val="00BA2A08"/>
    <w:rsid w:val="00BA56D2"/>
    <w:rsid w:val="00BA76E0"/>
    <w:rsid w:val="00BB10A7"/>
    <w:rsid w:val="00BB28D4"/>
    <w:rsid w:val="00BB2A25"/>
    <w:rsid w:val="00BB51E9"/>
    <w:rsid w:val="00BC0FDC"/>
    <w:rsid w:val="00BC1065"/>
    <w:rsid w:val="00BC3053"/>
    <w:rsid w:val="00BC4D2E"/>
    <w:rsid w:val="00BC55B0"/>
    <w:rsid w:val="00BD0FC1"/>
    <w:rsid w:val="00BD48AC"/>
    <w:rsid w:val="00BD5F1A"/>
    <w:rsid w:val="00BE1234"/>
    <w:rsid w:val="00BE2FA6"/>
    <w:rsid w:val="00BE333F"/>
    <w:rsid w:val="00BE37E7"/>
    <w:rsid w:val="00BE7406"/>
    <w:rsid w:val="00BE7603"/>
    <w:rsid w:val="00BF3279"/>
    <w:rsid w:val="00BF3957"/>
    <w:rsid w:val="00BF74C7"/>
    <w:rsid w:val="00C01489"/>
    <w:rsid w:val="00C015F1"/>
    <w:rsid w:val="00C01F33"/>
    <w:rsid w:val="00C02CC6"/>
    <w:rsid w:val="00C040F7"/>
    <w:rsid w:val="00C044AB"/>
    <w:rsid w:val="00C05706"/>
    <w:rsid w:val="00C07377"/>
    <w:rsid w:val="00C10174"/>
    <w:rsid w:val="00C10478"/>
    <w:rsid w:val="00C12107"/>
    <w:rsid w:val="00C14D4B"/>
    <w:rsid w:val="00C154BB"/>
    <w:rsid w:val="00C15CEC"/>
    <w:rsid w:val="00C279B5"/>
    <w:rsid w:val="00C27A59"/>
    <w:rsid w:val="00C27C45"/>
    <w:rsid w:val="00C338DB"/>
    <w:rsid w:val="00C33DB0"/>
    <w:rsid w:val="00C3719D"/>
    <w:rsid w:val="00C37CB2"/>
    <w:rsid w:val="00C4563D"/>
    <w:rsid w:val="00C46B60"/>
    <w:rsid w:val="00C473A5"/>
    <w:rsid w:val="00C47DB7"/>
    <w:rsid w:val="00C54995"/>
    <w:rsid w:val="00C54D41"/>
    <w:rsid w:val="00C60783"/>
    <w:rsid w:val="00C63843"/>
    <w:rsid w:val="00C64672"/>
    <w:rsid w:val="00C70697"/>
    <w:rsid w:val="00C71EA9"/>
    <w:rsid w:val="00C72093"/>
    <w:rsid w:val="00C72EF4"/>
    <w:rsid w:val="00C74110"/>
    <w:rsid w:val="00C744FE"/>
    <w:rsid w:val="00C74F14"/>
    <w:rsid w:val="00C75D2F"/>
    <w:rsid w:val="00C767BE"/>
    <w:rsid w:val="00C76E3C"/>
    <w:rsid w:val="00C76E7E"/>
    <w:rsid w:val="00C81568"/>
    <w:rsid w:val="00C8237D"/>
    <w:rsid w:val="00C8426F"/>
    <w:rsid w:val="00C8645E"/>
    <w:rsid w:val="00C9027A"/>
    <w:rsid w:val="00C9068E"/>
    <w:rsid w:val="00C93814"/>
    <w:rsid w:val="00C93C4B"/>
    <w:rsid w:val="00C944AB"/>
    <w:rsid w:val="00C95B40"/>
    <w:rsid w:val="00CA10FC"/>
    <w:rsid w:val="00CA17BC"/>
    <w:rsid w:val="00CA1ED8"/>
    <w:rsid w:val="00CA3632"/>
    <w:rsid w:val="00CA5BB6"/>
    <w:rsid w:val="00CB1F63"/>
    <w:rsid w:val="00CB4F04"/>
    <w:rsid w:val="00CB7170"/>
    <w:rsid w:val="00CC040E"/>
    <w:rsid w:val="00CC0D67"/>
    <w:rsid w:val="00CC111F"/>
    <w:rsid w:val="00CC2011"/>
    <w:rsid w:val="00CC3EA0"/>
    <w:rsid w:val="00CC6348"/>
    <w:rsid w:val="00CC7B45"/>
    <w:rsid w:val="00CC7F15"/>
    <w:rsid w:val="00CD1188"/>
    <w:rsid w:val="00CD2ED1"/>
    <w:rsid w:val="00CD337B"/>
    <w:rsid w:val="00CD3684"/>
    <w:rsid w:val="00CD6799"/>
    <w:rsid w:val="00CD79B0"/>
    <w:rsid w:val="00CE0424"/>
    <w:rsid w:val="00CE0BF7"/>
    <w:rsid w:val="00CE47DD"/>
    <w:rsid w:val="00CE6E0D"/>
    <w:rsid w:val="00CE7561"/>
    <w:rsid w:val="00CF1354"/>
    <w:rsid w:val="00CF3B1F"/>
    <w:rsid w:val="00CF3BF6"/>
    <w:rsid w:val="00CF625B"/>
    <w:rsid w:val="00CF687E"/>
    <w:rsid w:val="00D0071E"/>
    <w:rsid w:val="00D029F6"/>
    <w:rsid w:val="00D0349B"/>
    <w:rsid w:val="00D10249"/>
    <w:rsid w:val="00D115C3"/>
    <w:rsid w:val="00D11897"/>
    <w:rsid w:val="00D13135"/>
    <w:rsid w:val="00D13E4E"/>
    <w:rsid w:val="00D209DF"/>
    <w:rsid w:val="00D22771"/>
    <w:rsid w:val="00D22793"/>
    <w:rsid w:val="00D239A7"/>
    <w:rsid w:val="00D23F47"/>
    <w:rsid w:val="00D30709"/>
    <w:rsid w:val="00D36499"/>
    <w:rsid w:val="00D36E71"/>
    <w:rsid w:val="00D37AF8"/>
    <w:rsid w:val="00D37D87"/>
    <w:rsid w:val="00D40198"/>
    <w:rsid w:val="00D408DA"/>
    <w:rsid w:val="00D40B33"/>
    <w:rsid w:val="00D4318F"/>
    <w:rsid w:val="00D438BF"/>
    <w:rsid w:val="00D440F8"/>
    <w:rsid w:val="00D46CD8"/>
    <w:rsid w:val="00D513DC"/>
    <w:rsid w:val="00D52D65"/>
    <w:rsid w:val="00D546FF"/>
    <w:rsid w:val="00D55AD5"/>
    <w:rsid w:val="00D5623F"/>
    <w:rsid w:val="00D57675"/>
    <w:rsid w:val="00D576CA"/>
    <w:rsid w:val="00D61AF5"/>
    <w:rsid w:val="00D652B5"/>
    <w:rsid w:val="00D66155"/>
    <w:rsid w:val="00D708B0"/>
    <w:rsid w:val="00D77B1D"/>
    <w:rsid w:val="00D8021F"/>
    <w:rsid w:val="00D80383"/>
    <w:rsid w:val="00D823C6"/>
    <w:rsid w:val="00D8327F"/>
    <w:rsid w:val="00D85F43"/>
    <w:rsid w:val="00D86CA3"/>
    <w:rsid w:val="00D871CE"/>
    <w:rsid w:val="00D907DA"/>
    <w:rsid w:val="00D9186B"/>
    <w:rsid w:val="00D9196D"/>
    <w:rsid w:val="00D92982"/>
    <w:rsid w:val="00DA305E"/>
    <w:rsid w:val="00DA5417"/>
    <w:rsid w:val="00DA56E8"/>
    <w:rsid w:val="00DB0A9F"/>
    <w:rsid w:val="00DB377D"/>
    <w:rsid w:val="00DC1AF9"/>
    <w:rsid w:val="00DC2D36"/>
    <w:rsid w:val="00DC4734"/>
    <w:rsid w:val="00DC53EF"/>
    <w:rsid w:val="00DC6A76"/>
    <w:rsid w:val="00DD0608"/>
    <w:rsid w:val="00DE1466"/>
    <w:rsid w:val="00DE5608"/>
    <w:rsid w:val="00DE58D0"/>
    <w:rsid w:val="00DE654F"/>
    <w:rsid w:val="00DE796B"/>
    <w:rsid w:val="00DF0B6E"/>
    <w:rsid w:val="00DF15E0"/>
    <w:rsid w:val="00DF37A0"/>
    <w:rsid w:val="00E110E7"/>
    <w:rsid w:val="00E11B20"/>
    <w:rsid w:val="00E1562A"/>
    <w:rsid w:val="00E17FA2"/>
    <w:rsid w:val="00E22330"/>
    <w:rsid w:val="00E25129"/>
    <w:rsid w:val="00E2589B"/>
    <w:rsid w:val="00E30A40"/>
    <w:rsid w:val="00E30B5A"/>
    <w:rsid w:val="00E3123D"/>
    <w:rsid w:val="00E31461"/>
    <w:rsid w:val="00E31D43"/>
    <w:rsid w:val="00E32608"/>
    <w:rsid w:val="00E34188"/>
    <w:rsid w:val="00E34B6E"/>
    <w:rsid w:val="00E35559"/>
    <w:rsid w:val="00E3723A"/>
    <w:rsid w:val="00E37860"/>
    <w:rsid w:val="00E4033B"/>
    <w:rsid w:val="00E446F1"/>
    <w:rsid w:val="00E44A1A"/>
    <w:rsid w:val="00E46886"/>
    <w:rsid w:val="00E47AEF"/>
    <w:rsid w:val="00E53B75"/>
    <w:rsid w:val="00E54E3B"/>
    <w:rsid w:val="00E57565"/>
    <w:rsid w:val="00E60BE8"/>
    <w:rsid w:val="00E61B63"/>
    <w:rsid w:val="00E61D10"/>
    <w:rsid w:val="00E63838"/>
    <w:rsid w:val="00E64434"/>
    <w:rsid w:val="00E66D08"/>
    <w:rsid w:val="00E67C51"/>
    <w:rsid w:val="00E72EFC"/>
    <w:rsid w:val="00E758EC"/>
    <w:rsid w:val="00E76B7D"/>
    <w:rsid w:val="00E8234C"/>
    <w:rsid w:val="00E83AA9"/>
    <w:rsid w:val="00E85928"/>
    <w:rsid w:val="00E87822"/>
    <w:rsid w:val="00E90395"/>
    <w:rsid w:val="00E90E49"/>
    <w:rsid w:val="00E917F9"/>
    <w:rsid w:val="00E9291C"/>
    <w:rsid w:val="00E929FC"/>
    <w:rsid w:val="00E93720"/>
    <w:rsid w:val="00E93FFE"/>
    <w:rsid w:val="00E94F8A"/>
    <w:rsid w:val="00E964AD"/>
    <w:rsid w:val="00E9755D"/>
    <w:rsid w:val="00EA7A41"/>
    <w:rsid w:val="00EB077B"/>
    <w:rsid w:val="00EB251D"/>
    <w:rsid w:val="00EB4EA2"/>
    <w:rsid w:val="00EB5BA3"/>
    <w:rsid w:val="00EC24D5"/>
    <w:rsid w:val="00EC27C6"/>
    <w:rsid w:val="00EC38AE"/>
    <w:rsid w:val="00EC4207"/>
    <w:rsid w:val="00EC4D5D"/>
    <w:rsid w:val="00EC5653"/>
    <w:rsid w:val="00EC6A8C"/>
    <w:rsid w:val="00EC71CE"/>
    <w:rsid w:val="00ED1006"/>
    <w:rsid w:val="00EE24D5"/>
    <w:rsid w:val="00EE29AF"/>
    <w:rsid w:val="00EE6237"/>
    <w:rsid w:val="00EF166F"/>
    <w:rsid w:val="00EF18FE"/>
    <w:rsid w:val="00EF5787"/>
    <w:rsid w:val="00EF608E"/>
    <w:rsid w:val="00EF60D0"/>
    <w:rsid w:val="00F04404"/>
    <w:rsid w:val="00F0528D"/>
    <w:rsid w:val="00F06C67"/>
    <w:rsid w:val="00F06DFD"/>
    <w:rsid w:val="00F071D1"/>
    <w:rsid w:val="00F07533"/>
    <w:rsid w:val="00F078DE"/>
    <w:rsid w:val="00F10629"/>
    <w:rsid w:val="00F15FA5"/>
    <w:rsid w:val="00F209B7"/>
    <w:rsid w:val="00F2376F"/>
    <w:rsid w:val="00F243D8"/>
    <w:rsid w:val="00F25FC3"/>
    <w:rsid w:val="00F30828"/>
    <w:rsid w:val="00F313D6"/>
    <w:rsid w:val="00F3422B"/>
    <w:rsid w:val="00F36924"/>
    <w:rsid w:val="00F40F0C"/>
    <w:rsid w:val="00F44A0E"/>
    <w:rsid w:val="00F44F80"/>
    <w:rsid w:val="00F4766C"/>
    <w:rsid w:val="00F5031A"/>
    <w:rsid w:val="00F5060E"/>
    <w:rsid w:val="00F507D1"/>
    <w:rsid w:val="00F519CE"/>
    <w:rsid w:val="00F51ADA"/>
    <w:rsid w:val="00F550FE"/>
    <w:rsid w:val="00F575C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912"/>
    <w:rsid w:val="00F859D8"/>
    <w:rsid w:val="00F868F5"/>
    <w:rsid w:val="00F9056A"/>
    <w:rsid w:val="00F90A85"/>
    <w:rsid w:val="00F90F8D"/>
    <w:rsid w:val="00F92782"/>
    <w:rsid w:val="00F93AA9"/>
    <w:rsid w:val="00F94320"/>
    <w:rsid w:val="00F96985"/>
    <w:rsid w:val="00F97838"/>
    <w:rsid w:val="00F97D3A"/>
    <w:rsid w:val="00FA0453"/>
    <w:rsid w:val="00FA264C"/>
    <w:rsid w:val="00FA2BB3"/>
    <w:rsid w:val="00FA3DF7"/>
    <w:rsid w:val="00FA6AA4"/>
    <w:rsid w:val="00FB4C80"/>
    <w:rsid w:val="00FB57BD"/>
    <w:rsid w:val="00FB65C1"/>
    <w:rsid w:val="00FB6A6A"/>
    <w:rsid w:val="00FC0A26"/>
    <w:rsid w:val="00FC5658"/>
    <w:rsid w:val="00FC7429"/>
    <w:rsid w:val="00FD07F6"/>
    <w:rsid w:val="00FD1EC8"/>
    <w:rsid w:val="00FD47ED"/>
    <w:rsid w:val="00FD74DB"/>
    <w:rsid w:val="00FD7660"/>
    <w:rsid w:val="00FE0655"/>
    <w:rsid w:val="00FE2365"/>
    <w:rsid w:val="00FE37D7"/>
    <w:rsid w:val="00FE4C7B"/>
    <w:rsid w:val="00FE7336"/>
    <w:rsid w:val="00FE787C"/>
    <w:rsid w:val="00FE7FD8"/>
    <w:rsid w:val="00FE7FDA"/>
    <w:rsid w:val="00FF1AFA"/>
    <w:rsid w:val="00FF37A3"/>
    <w:rsid w:val="00FF45A5"/>
    <w:rsid w:val="00FF58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45155">
      <w:bodyDiv w:val="1"/>
      <w:marLeft w:val="0"/>
      <w:marRight w:val="0"/>
      <w:marTop w:val="0"/>
      <w:marBottom w:val="0"/>
      <w:divBdr>
        <w:top w:val="none" w:sz="0" w:space="0" w:color="auto"/>
        <w:left w:val="none" w:sz="0" w:space="0" w:color="auto"/>
        <w:bottom w:val="none" w:sz="0" w:space="0" w:color="auto"/>
        <w:right w:val="none" w:sz="0" w:space="0" w:color="auto"/>
      </w:divBdr>
      <w:divsChild>
        <w:div w:id="644551979">
          <w:marLeft w:val="1973"/>
          <w:marRight w:val="0"/>
          <w:marTop w:val="62"/>
          <w:marBottom w:val="0"/>
          <w:divBdr>
            <w:top w:val="none" w:sz="0" w:space="0" w:color="auto"/>
            <w:left w:val="none" w:sz="0" w:space="0" w:color="auto"/>
            <w:bottom w:val="none" w:sz="0" w:space="0" w:color="auto"/>
            <w:right w:val="none" w:sz="0" w:space="0" w:color="auto"/>
          </w:divBdr>
        </w:div>
      </w:divsChild>
    </w:div>
    <w:div w:id="841973031">
      <w:bodyDiv w:val="1"/>
      <w:marLeft w:val="0"/>
      <w:marRight w:val="0"/>
      <w:marTop w:val="0"/>
      <w:marBottom w:val="0"/>
      <w:divBdr>
        <w:top w:val="none" w:sz="0" w:space="0" w:color="auto"/>
        <w:left w:val="none" w:sz="0" w:space="0" w:color="auto"/>
        <w:bottom w:val="none" w:sz="0" w:space="0" w:color="auto"/>
        <w:right w:val="none" w:sz="0" w:space="0" w:color="auto"/>
      </w:divBdr>
      <w:divsChild>
        <w:div w:id="1410079497">
          <w:marLeft w:val="1973"/>
          <w:marRight w:val="0"/>
          <w:marTop w:val="62"/>
          <w:marBottom w:val="0"/>
          <w:divBdr>
            <w:top w:val="none" w:sz="0" w:space="0" w:color="auto"/>
            <w:left w:val="none" w:sz="0" w:space="0" w:color="auto"/>
            <w:bottom w:val="none" w:sz="0" w:space="0" w:color="auto"/>
            <w:right w:val="none" w:sz="0" w:space="0" w:color="auto"/>
          </w:divBdr>
        </w:div>
      </w:divsChild>
    </w:div>
    <w:div w:id="925387446">
      <w:bodyDiv w:val="1"/>
      <w:marLeft w:val="0"/>
      <w:marRight w:val="0"/>
      <w:marTop w:val="0"/>
      <w:marBottom w:val="0"/>
      <w:divBdr>
        <w:top w:val="none" w:sz="0" w:space="0" w:color="auto"/>
        <w:left w:val="none" w:sz="0" w:space="0" w:color="auto"/>
        <w:bottom w:val="none" w:sz="0" w:space="0" w:color="auto"/>
        <w:right w:val="none" w:sz="0" w:space="0" w:color="auto"/>
      </w:divBdr>
      <w:divsChild>
        <w:div w:id="1055280422">
          <w:marLeft w:val="1973"/>
          <w:marRight w:val="0"/>
          <w:marTop w:val="62"/>
          <w:marBottom w:val="0"/>
          <w:divBdr>
            <w:top w:val="none" w:sz="0" w:space="0" w:color="auto"/>
            <w:left w:val="none" w:sz="0" w:space="0" w:color="auto"/>
            <w:bottom w:val="none" w:sz="0" w:space="0" w:color="auto"/>
            <w:right w:val="none" w:sz="0" w:space="0" w:color="auto"/>
          </w:divBdr>
        </w:div>
      </w:divsChild>
    </w:div>
    <w:div w:id="1826168029">
      <w:bodyDiv w:val="1"/>
      <w:marLeft w:val="0"/>
      <w:marRight w:val="0"/>
      <w:marTop w:val="0"/>
      <w:marBottom w:val="0"/>
      <w:divBdr>
        <w:top w:val="none" w:sz="0" w:space="0" w:color="auto"/>
        <w:left w:val="none" w:sz="0" w:space="0" w:color="auto"/>
        <w:bottom w:val="none" w:sz="0" w:space="0" w:color="auto"/>
        <w:right w:val="none" w:sz="0" w:space="0" w:color="auto"/>
      </w:divBdr>
      <w:divsChild>
        <w:div w:id="100299113">
          <w:marLeft w:val="1699"/>
          <w:marRight w:val="0"/>
          <w:marTop w:val="60"/>
          <w:marBottom w:val="0"/>
          <w:divBdr>
            <w:top w:val="none" w:sz="0" w:space="0" w:color="auto"/>
            <w:left w:val="none" w:sz="0" w:space="0" w:color="auto"/>
            <w:bottom w:val="none" w:sz="0" w:space="0" w:color="auto"/>
            <w:right w:val="none" w:sz="0" w:space="0" w:color="auto"/>
          </w:divBdr>
        </w:div>
        <w:div w:id="581792568">
          <w:marLeft w:val="1699"/>
          <w:marRight w:val="0"/>
          <w:marTop w:val="60"/>
          <w:marBottom w:val="0"/>
          <w:divBdr>
            <w:top w:val="none" w:sz="0" w:space="0" w:color="auto"/>
            <w:left w:val="none" w:sz="0" w:space="0" w:color="auto"/>
            <w:bottom w:val="none" w:sz="0" w:space="0" w:color="auto"/>
            <w:right w:val="none" w:sz="0" w:space="0" w:color="auto"/>
          </w:divBdr>
        </w:div>
        <w:div w:id="764570344">
          <w:marLeft w:val="1699"/>
          <w:marRight w:val="0"/>
          <w:marTop w:val="60"/>
          <w:marBottom w:val="0"/>
          <w:divBdr>
            <w:top w:val="none" w:sz="0" w:space="0" w:color="auto"/>
            <w:left w:val="none" w:sz="0" w:space="0" w:color="auto"/>
            <w:bottom w:val="none" w:sz="0" w:space="0" w:color="auto"/>
            <w:right w:val="none" w:sz="0" w:space="0" w:color="auto"/>
          </w:divBdr>
        </w:div>
        <w:div w:id="902986616">
          <w:marLeft w:val="1699"/>
          <w:marRight w:val="0"/>
          <w:marTop w:val="60"/>
          <w:marBottom w:val="0"/>
          <w:divBdr>
            <w:top w:val="none" w:sz="0" w:space="0" w:color="auto"/>
            <w:left w:val="none" w:sz="0" w:space="0" w:color="auto"/>
            <w:bottom w:val="none" w:sz="0" w:space="0" w:color="auto"/>
            <w:right w:val="none" w:sz="0" w:space="0" w:color="auto"/>
          </w:divBdr>
        </w:div>
        <w:div w:id="1217358935">
          <w:marLeft w:val="1699"/>
          <w:marRight w:val="0"/>
          <w:marTop w:val="60"/>
          <w:marBottom w:val="0"/>
          <w:divBdr>
            <w:top w:val="none" w:sz="0" w:space="0" w:color="auto"/>
            <w:left w:val="none" w:sz="0" w:space="0" w:color="auto"/>
            <w:bottom w:val="none" w:sz="0" w:space="0" w:color="auto"/>
            <w:right w:val="none" w:sz="0" w:space="0" w:color="auto"/>
          </w:divBdr>
        </w:div>
        <w:div w:id="1659334893">
          <w:marLeft w:val="1699"/>
          <w:marRight w:val="0"/>
          <w:marTop w:val="60"/>
          <w:marBottom w:val="0"/>
          <w:divBdr>
            <w:top w:val="none" w:sz="0" w:space="0" w:color="auto"/>
            <w:left w:val="none" w:sz="0" w:space="0" w:color="auto"/>
            <w:bottom w:val="none" w:sz="0" w:space="0" w:color="auto"/>
            <w:right w:val="none" w:sz="0" w:space="0" w:color="auto"/>
          </w:divBdr>
        </w:div>
        <w:div w:id="1767966516">
          <w:marLeft w:val="2261"/>
          <w:marRight w:val="0"/>
          <w:marTop w:val="60"/>
          <w:marBottom w:val="0"/>
          <w:divBdr>
            <w:top w:val="none" w:sz="0" w:space="0" w:color="auto"/>
            <w:left w:val="none" w:sz="0" w:space="0" w:color="auto"/>
            <w:bottom w:val="none" w:sz="0" w:space="0" w:color="auto"/>
            <w:right w:val="none" w:sz="0" w:space="0" w:color="auto"/>
          </w:divBdr>
        </w:div>
        <w:div w:id="1805460453">
          <w:marLeft w:val="1699"/>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B86D3-DCC0-40A9-94E6-A46A39BE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1704</Words>
  <Characters>13804</Characters>
  <Application>Microsoft Office Word</Application>
  <DocSecurity>0</DocSecurity>
  <Lines>115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15478</CharactersWithSpaces>
  <SharedDoc>false</SharedDoc>
  <HLinks>
    <vt:vector size="132" baseType="variant">
      <vt:variant>
        <vt:i4>1441842</vt:i4>
      </vt:variant>
      <vt:variant>
        <vt:i4>74</vt:i4>
      </vt:variant>
      <vt:variant>
        <vt:i4>0</vt:i4>
      </vt:variant>
      <vt:variant>
        <vt:i4>5</vt:i4>
      </vt:variant>
      <vt:variant>
        <vt:lpwstr/>
      </vt:variant>
      <vt:variant>
        <vt:lpwstr>_Toc21361422</vt:lpwstr>
      </vt:variant>
      <vt:variant>
        <vt:i4>1376306</vt:i4>
      </vt:variant>
      <vt:variant>
        <vt:i4>71</vt:i4>
      </vt:variant>
      <vt:variant>
        <vt:i4>0</vt:i4>
      </vt:variant>
      <vt:variant>
        <vt:i4>5</vt:i4>
      </vt:variant>
      <vt:variant>
        <vt:lpwstr/>
      </vt:variant>
      <vt:variant>
        <vt:lpwstr>_Toc21361421</vt:lpwstr>
      </vt:variant>
      <vt:variant>
        <vt:i4>1310770</vt:i4>
      </vt:variant>
      <vt:variant>
        <vt:i4>68</vt:i4>
      </vt:variant>
      <vt:variant>
        <vt:i4>0</vt:i4>
      </vt:variant>
      <vt:variant>
        <vt:i4>5</vt:i4>
      </vt:variant>
      <vt:variant>
        <vt:lpwstr/>
      </vt:variant>
      <vt:variant>
        <vt:lpwstr>_Toc21361420</vt:lpwstr>
      </vt:variant>
      <vt:variant>
        <vt:i4>1900593</vt:i4>
      </vt:variant>
      <vt:variant>
        <vt:i4>65</vt:i4>
      </vt:variant>
      <vt:variant>
        <vt:i4>0</vt:i4>
      </vt:variant>
      <vt:variant>
        <vt:i4>5</vt:i4>
      </vt:variant>
      <vt:variant>
        <vt:lpwstr/>
      </vt:variant>
      <vt:variant>
        <vt:lpwstr>_Toc21361419</vt:lpwstr>
      </vt:variant>
      <vt:variant>
        <vt:i4>1835057</vt:i4>
      </vt:variant>
      <vt:variant>
        <vt:i4>62</vt:i4>
      </vt:variant>
      <vt:variant>
        <vt:i4>0</vt:i4>
      </vt:variant>
      <vt:variant>
        <vt:i4>5</vt:i4>
      </vt:variant>
      <vt:variant>
        <vt:lpwstr/>
      </vt:variant>
      <vt:variant>
        <vt:lpwstr>_Toc21361418</vt:lpwstr>
      </vt:variant>
      <vt:variant>
        <vt:i4>1245233</vt:i4>
      </vt:variant>
      <vt:variant>
        <vt:i4>59</vt:i4>
      </vt:variant>
      <vt:variant>
        <vt:i4>0</vt:i4>
      </vt:variant>
      <vt:variant>
        <vt:i4>5</vt:i4>
      </vt:variant>
      <vt:variant>
        <vt:lpwstr/>
      </vt:variant>
      <vt:variant>
        <vt:lpwstr>_Toc21361417</vt:lpwstr>
      </vt:variant>
      <vt:variant>
        <vt:i4>1179697</vt:i4>
      </vt:variant>
      <vt:variant>
        <vt:i4>56</vt:i4>
      </vt:variant>
      <vt:variant>
        <vt:i4>0</vt:i4>
      </vt:variant>
      <vt:variant>
        <vt:i4>5</vt:i4>
      </vt:variant>
      <vt:variant>
        <vt:lpwstr/>
      </vt:variant>
      <vt:variant>
        <vt:lpwstr>_Toc21361416</vt:lpwstr>
      </vt:variant>
      <vt:variant>
        <vt:i4>1114161</vt:i4>
      </vt:variant>
      <vt:variant>
        <vt:i4>53</vt:i4>
      </vt:variant>
      <vt:variant>
        <vt:i4>0</vt:i4>
      </vt:variant>
      <vt:variant>
        <vt:i4>5</vt:i4>
      </vt:variant>
      <vt:variant>
        <vt:lpwstr/>
      </vt:variant>
      <vt:variant>
        <vt:lpwstr>_Toc21361415</vt:lpwstr>
      </vt:variant>
      <vt:variant>
        <vt:i4>1048625</vt:i4>
      </vt:variant>
      <vt:variant>
        <vt:i4>50</vt:i4>
      </vt:variant>
      <vt:variant>
        <vt:i4>0</vt:i4>
      </vt:variant>
      <vt:variant>
        <vt:i4>5</vt:i4>
      </vt:variant>
      <vt:variant>
        <vt:lpwstr/>
      </vt:variant>
      <vt:variant>
        <vt:lpwstr>_Toc21361414</vt:lpwstr>
      </vt:variant>
      <vt:variant>
        <vt:i4>1507377</vt:i4>
      </vt:variant>
      <vt:variant>
        <vt:i4>47</vt:i4>
      </vt:variant>
      <vt:variant>
        <vt:i4>0</vt:i4>
      </vt:variant>
      <vt:variant>
        <vt:i4>5</vt:i4>
      </vt:variant>
      <vt:variant>
        <vt:lpwstr/>
      </vt:variant>
      <vt:variant>
        <vt:lpwstr>_Toc21361413</vt:lpwstr>
      </vt:variant>
      <vt:variant>
        <vt:i4>1441841</vt:i4>
      </vt:variant>
      <vt:variant>
        <vt:i4>44</vt:i4>
      </vt:variant>
      <vt:variant>
        <vt:i4>0</vt:i4>
      </vt:variant>
      <vt:variant>
        <vt:i4>5</vt:i4>
      </vt:variant>
      <vt:variant>
        <vt:lpwstr/>
      </vt:variant>
      <vt:variant>
        <vt:lpwstr>_Toc21361412</vt:lpwstr>
      </vt:variant>
      <vt:variant>
        <vt:i4>1376305</vt:i4>
      </vt:variant>
      <vt:variant>
        <vt:i4>41</vt:i4>
      </vt:variant>
      <vt:variant>
        <vt:i4>0</vt:i4>
      </vt:variant>
      <vt:variant>
        <vt:i4>5</vt:i4>
      </vt:variant>
      <vt:variant>
        <vt:lpwstr/>
      </vt:variant>
      <vt:variant>
        <vt:lpwstr>_Toc21361411</vt:lpwstr>
      </vt:variant>
      <vt:variant>
        <vt:i4>1310769</vt:i4>
      </vt:variant>
      <vt:variant>
        <vt:i4>38</vt:i4>
      </vt:variant>
      <vt:variant>
        <vt:i4>0</vt:i4>
      </vt:variant>
      <vt:variant>
        <vt:i4>5</vt:i4>
      </vt:variant>
      <vt:variant>
        <vt:lpwstr/>
      </vt:variant>
      <vt:variant>
        <vt:lpwstr>_Toc21361410</vt:lpwstr>
      </vt:variant>
      <vt:variant>
        <vt:i4>1900592</vt:i4>
      </vt:variant>
      <vt:variant>
        <vt:i4>35</vt:i4>
      </vt:variant>
      <vt:variant>
        <vt:i4>0</vt:i4>
      </vt:variant>
      <vt:variant>
        <vt:i4>5</vt:i4>
      </vt:variant>
      <vt:variant>
        <vt:lpwstr/>
      </vt:variant>
      <vt:variant>
        <vt:lpwstr>_Toc21361409</vt:lpwstr>
      </vt:variant>
      <vt:variant>
        <vt:i4>1835056</vt:i4>
      </vt:variant>
      <vt:variant>
        <vt:i4>32</vt:i4>
      </vt:variant>
      <vt:variant>
        <vt:i4>0</vt:i4>
      </vt:variant>
      <vt:variant>
        <vt:i4>5</vt:i4>
      </vt:variant>
      <vt:variant>
        <vt:lpwstr/>
      </vt:variant>
      <vt:variant>
        <vt:lpwstr>_Toc21361408</vt:lpwstr>
      </vt:variant>
      <vt:variant>
        <vt:i4>1245232</vt:i4>
      </vt:variant>
      <vt:variant>
        <vt:i4>29</vt:i4>
      </vt:variant>
      <vt:variant>
        <vt:i4>0</vt:i4>
      </vt:variant>
      <vt:variant>
        <vt:i4>5</vt:i4>
      </vt:variant>
      <vt:variant>
        <vt:lpwstr/>
      </vt:variant>
      <vt:variant>
        <vt:lpwstr>_Toc21361407</vt:lpwstr>
      </vt:variant>
      <vt:variant>
        <vt:i4>1179696</vt:i4>
      </vt:variant>
      <vt:variant>
        <vt:i4>26</vt:i4>
      </vt:variant>
      <vt:variant>
        <vt:i4>0</vt:i4>
      </vt:variant>
      <vt:variant>
        <vt:i4>5</vt:i4>
      </vt:variant>
      <vt:variant>
        <vt:lpwstr/>
      </vt:variant>
      <vt:variant>
        <vt:lpwstr>_Toc21361406</vt:lpwstr>
      </vt:variant>
      <vt:variant>
        <vt:i4>1114160</vt:i4>
      </vt:variant>
      <vt:variant>
        <vt:i4>23</vt:i4>
      </vt:variant>
      <vt:variant>
        <vt:i4>0</vt:i4>
      </vt:variant>
      <vt:variant>
        <vt:i4>5</vt:i4>
      </vt:variant>
      <vt:variant>
        <vt:lpwstr/>
      </vt:variant>
      <vt:variant>
        <vt:lpwstr>_Toc21361405</vt:lpwstr>
      </vt:variant>
      <vt:variant>
        <vt:i4>1048624</vt:i4>
      </vt:variant>
      <vt:variant>
        <vt:i4>20</vt:i4>
      </vt:variant>
      <vt:variant>
        <vt:i4>0</vt:i4>
      </vt:variant>
      <vt:variant>
        <vt:i4>5</vt:i4>
      </vt:variant>
      <vt:variant>
        <vt:lpwstr/>
      </vt:variant>
      <vt:variant>
        <vt:lpwstr>_Toc21361404</vt:lpwstr>
      </vt:variant>
      <vt:variant>
        <vt:i4>1507376</vt:i4>
      </vt:variant>
      <vt:variant>
        <vt:i4>14</vt:i4>
      </vt:variant>
      <vt:variant>
        <vt:i4>0</vt:i4>
      </vt:variant>
      <vt:variant>
        <vt:i4>5</vt:i4>
      </vt:variant>
      <vt:variant>
        <vt:lpwstr/>
      </vt:variant>
      <vt:variant>
        <vt:lpwstr>_Toc21361403</vt:lpwstr>
      </vt:variant>
      <vt:variant>
        <vt:i4>1441840</vt:i4>
      </vt:variant>
      <vt:variant>
        <vt:i4>11</vt:i4>
      </vt:variant>
      <vt:variant>
        <vt:i4>0</vt:i4>
      </vt:variant>
      <vt:variant>
        <vt:i4>5</vt:i4>
      </vt:variant>
      <vt:variant>
        <vt:lpwstr/>
      </vt:variant>
      <vt:variant>
        <vt:lpwstr>_Toc21361402</vt:lpwstr>
      </vt:variant>
      <vt:variant>
        <vt:i4>1376304</vt:i4>
      </vt:variant>
      <vt:variant>
        <vt:i4>8</vt:i4>
      </vt:variant>
      <vt:variant>
        <vt:i4>0</vt:i4>
      </vt:variant>
      <vt:variant>
        <vt:i4>5</vt:i4>
      </vt:variant>
      <vt:variant>
        <vt:lpwstr/>
      </vt:variant>
      <vt:variant>
        <vt:lpwstr>_Toc21361401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2019-10-07T17:41:00Z</dcterms:created>
  <dcterms:modified xsi:type="dcterms:W3CDTF">2019-10-07T17:41:00Z</dcterms:modified>
  <cp:category/>
</cp:coreProperties>
</file>